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 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 that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 and defines</w:t>
      </w:r>
      <w:r>
        <w:t xml:space="preserve"> </w:t>
      </w:r>
      <m:oMath>
        <m:r>
          <m:t>θ</m:t>
        </m:r>
      </m:oMath>
      <w:r>
        <w:t xml:space="preserve">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 the partial order,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the non-refinement construction,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of the kind the paper rules out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query-independent scores,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topical query-conditioned ones): not a</w:t>
      </w:r>
      <w:r>
        <w:t xml:space="preserve"> </w:t>
      </w:r>
      <w:r>
        <w:t xml:space="preserve">competitor to out-perform but an instance of the excluded class (we prove</w:t>
      </w:r>
      <w:r>
        <w:t xml:space="preserve"> </w:t>
      </w:r>
      <w:r>
        <w:t xml:space="preserve">Blackwell-monotonicity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the classical comparison of</w:t>
      </w:r>
      <w:r>
        <w:t xml:space="preserve"> </w:t>
      </w:r>
      <w:r>
        <w:t xml:space="preserve">experiments applies to them directly. We state the order, record that it is genuinely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with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the optimal values achievable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coordinate. If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Blackwell-incomparable.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p>
      <w:pPr>
        <w:pStyle w:val="FirstParagraph"/>
      </w:pPr>
      <w:r>
        <w:rPr>
          <w:i/>
          <w:iCs/>
        </w:rPr>
        <w:t xml:space="preserve">The separation hypothesis in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is necessary, and our own measurements witness the</w:t>
      </w:r>
      <w:r>
        <w:rPr>
          <w:i/>
          <w:iCs/>
        </w:rPr>
        <w:t xml:space="preserve"> </w:t>
      </w:r>
      <w:r>
        <w:rPr>
          <w:i/>
          <w:iCs/>
        </w:rPr>
        <w:t xml:space="preserve">necessity: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wins the API</w:t>
      </w:r>
      <w:r>
        <w:rPr>
          <w:i/>
          <w:iCs/>
        </w:rPr>
        <w:t xml:space="preserve"> </w:t>
      </w:r>
      <w:r>
        <w:rPr>
          <w:i/>
          <w:iCs/>
        </w:rPr>
        <w:t xml:space="preserve">cells,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 encoding cell) yet Blackwell-</w:t>
      </w:r>
      <w:r>
        <w:rPr>
          <w:i/>
          <w:i/>
          <w:iCs/>
          <w:iCs/>
        </w:rPr>
        <w:t xml:space="preserve">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), precisely because the deprived-side premise fails there,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coordinate, so the API-side cap is not small. A bare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crossover, without the</w:t>
      </w:r>
      <w:r>
        <w:rPr>
          <w:i/>
          <w:iCs/>
        </w:rPr>
        <w:t xml:space="preserve"> </w:t>
      </w:r>
      <w:r>
        <w:rPr>
          <w:i/>
          <w:iCs/>
        </w:rPr>
        <w:t xml:space="preserve">separation hypothesis, witnesses only the sub-optimality of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(Theorem </w:t>
      </w:r>
      <w:hyperlink w:anchor="thm:antimono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genuinely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keystone. In the direction the empirical program needs, it says: a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-crossover on tasks whose decisive coordinates are</w:t>
      </w:r>
      <w:r>
        <w:t xml:space="preserve"> </w:t>
      </w:r>
      <w:r>
        <w:rPr>
          <w:i/>
          <w:iCs/>
        </w:rPr>
        <w:t xml:space="preserve">separated</w:t>
      </w:r>
      <w:r>
        <w:t xml:space="preserve"> </w:t>
      </w:r>
      <w:r>
        <w:t xml:space="preserve">across</w:t>
      </w:r>
      <w:r>
        <w:t xml:space="preserve"> </w:t>
      </w:r>
      <w:r>
        <w:t xml:space="preserve">the two sources, with the deprived side’s optimal value capped below the measured pass rates,</w:t>
      </w:r>
      <w:r>
        <w:t xml:space="preserve"> </w:t>
      </w:r>
      <w:r>
        <w:t xml:space="preserve">implies genuine Blackwell incomparability. Our construction is designed to satisfy the hypothesis</w:t>
      </w:r>
      <w:r>
        <w:t xml:space="preserve"> </w:t>
      </w:r>
      <w:r>
        <w:t xml:space="preserve">(each cell’s decisive private coordinate is revealed by exactly one source,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), and its observable signature, deprived-arm pass rates flooring at the</w:t>
      </w:r>
      <w:r>
        <w:t xml:space="preserve"> </w:t>
      </w:r>
      <w:r>
        <w:t xml:space="preserve">guessing cap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encoding cell,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near</w:t>
      </w:r>
      <w:r>
        <w:t xml:space="preserve"> </w:t>
      </w:r>
      <m:oMath>
        <m:r>
          <m:t>0</m:t>
        </m:r>
      </m:oMath>
      <w:r>
        <w:t xml:space="preserve">), is verified per cell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; where a model’s prior</w:t>
      </w:r>
      <w:r>
        <w:t xml:space="preserve"> </w:t>
      </w:r>
      <w:r>
        <w:t xml:space="preserve">partially recovers a convention (the</w:t>
      </w:r>
      <w:r>
        <w:t xml:space="preserve"> </w:t>
      </w:r>
      <m:oMath>
        <m:r>
          <m:t>θ</m:t>
        </m:r>
      </m:oMath>
      <w:r>
        <w:t xml:space="preserve">-dependence 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the cap</w:t>
      </w:r>
      <w:r>
        <w:t xml:space="preserve"> </w:t>
      </w:r>
      <w:r>
        <w:t xml:space="preserve">premise weakens and we do not certify on those cells. The reverse implication, predicting the</w:t>
      </w:r>
      <w:r>
        <w:t xml:space="preserve"> </w:t>
      </w:r>
      <w:r>
        <w:t xml:space="preserve">realized crossover 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</w:t>
      </w:r>
      <w:r>
        <w:t xml:space="preserve"> </w:t>
      </w:r>
      <w:r>
        <w:t xml:space="preserve">task design enforces and our 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showed the order is genuinely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 strawman: its failure mode is shared by the ranker</w:t>
      </w:r>
      <w:r>
        <w:t xml:space="preserve"> </w:t>
      </w:r>
      <w:r>
        <w:t xml:space="preserve">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p>
      <w:pPr>
        <w:pStyle w:val="FirstParagraph"/>
      </w:pPr>
      <w:r>
        <w:t xml:space="preserve">The impossibility of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certificate that makes each comparison auditable on a live model.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certify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4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certificate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); the resulting construction aligns with recent statistical</w:t>
      </w:r>
      <w:r>
        <w:t xml:space="preserve"> </w:t>
      </w:r>
      <w:r>
        <w:t xml:space="preserve">guidance for black-box LLM evaluation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cr m:val="monospace"/>
                  <m:sty m:val="p"/>
                </m:rPr>
                <m:t>none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bookmarkStart w:id="58" w:name="rem:leaky"/>
    <w:p>
      <w:pPr>
        <w:pStyle w:val="FirstParagraph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its impossibility consequence 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</w:t>
      </w:r>
      <w:r>
        <w:t xml:space="preserve"> </w:t>
      </w:r>
      <w:r>
        <w:t xml:space="preserve">and the certificate that measures it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record reflects roughly $210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runs;</w:t>
      </w:r>
      <w:r>
        <w:t xml:space="preserve"> </w:t>
      </w:r>
      <w:r>
        <w:t xml:space="preserve">itemized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 plus Azure quota for the non-Anthropic models; the Azure</w:t>
      </w:r>
      <w:r>
        <w:t xml:space="preserve"> </w:t>
      </w:r>
      <w:r>
        <w:t xml:space="preserve">API returns no cost field, so the $210 figure should not be read as the total cost across all</w:t>
      </w:r>
      <w:r>
        <w:t xml:space="preserve"> </w:t>
      </w:r>
      <w:r>
        <w:t xml:space="preserve">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five models,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genuine</w:t>
      </w:r>
      <w:r>
        <w:t xml:space="preserve"> </w:t>
      </w:r>
      <w:r>
        <w:t xml:space="preserve">unguessability,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that encoding knowledge is</w:t>
      </w:r>
      <w:r>
        <w:t xml:space="preserve"> </w:t>
      </w:r>
      <w:r>
        <w:t xml:space="preserve">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certified incomparable pair),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harmful Haiku</w:t>
      </w:r>
      <w:r>
        <w:t xml:space="preserve"> </w:t>
      </w:r>
      <w:r>
        <w:t xml:space="preserve">cells (and, in the full-battery run,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Haiku and Sonnet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(Haiku/Sonnet,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Five follow-up experiments address four threat axes (source-pair generality, the</w:t>
      </w:r>
      <w:r>
        <w:t xml:space="preserve"> </w:t>
      </w:r>
      <w:r>
        <w:t xml:space="preserve">agentic-harness confound, the context-length confound, and prompt-curability of the collapse);</w:t>
      </w:r>
      <w:r>
        <w:t xml:space="preserve"> </w:t>
      </w:r>
      <w:r>
        <w:t xml:space="preserve">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15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the evidence in hand, we step back to what it licenses. Our results recast a piece of</w:t>
      </w:r>
      <w:r>
        <w:t xml:space="preserve"> </w:t>
      </w:r>
      <w:r>
        <w:t xml:space="preserve">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on separated decisive coordinates with capped</w:t>
      </w:r>
      <w:r>
        <w:t xml:space="preserve"> </w:t>
      </w:r>
      <w:r>
        <w:t xml:space="preserve">deprived-side value implies Blackwell incomparability, and the converse requires the</w:t>
      </w:r>
      <w:r>
        <w:t xml:space="preserve"> </w:t>
      </w:r>
      <w:r>
        <w:t xml:space="preserve">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); both hypotheses are enforced by the</w:t>
      </w:r>
      <w:r>
        <w:t xml:space="preserve"> </w:t>
      </w:r>
      <w:r>
        <w:t xml:space="preserve">task design and checked against the measured floors;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98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Haiku and Sonnet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Start w:id="114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8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8"/>
    <w:bookmarkStart w:id="109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09"/>
    <w:bookmarkStart w:id="110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0"/>
    <w:bookmarkStart w:id="111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1"/>
    <w:bookmarkStart w:id="112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); marginal-versus-joint control is discussed in</w:t>
      </w:r>
      <w:r>
        <w:t xml:space="preserve"> </w:t>
      </w:r>
      <w:r>
        <w:t xml:space="preserve">§</w:t>
      </w:r>
      <w:hyperlink w:anchor="sec:disc-bridge">
        <w:r>
          <w:rPr>
            <w:rStyle w:val="Hyperlink"/>
          </w:rPr>
          <w:t xml:space="preserve">8.1</w:t>
        </w:r>
      </w:hyperlink>
      <w:r>
        <w:t xml:space="preserve">.</w:t>
      </w:r>
    </w:p>
    <w:bookmarkEnd w:id="112"/>
    <w:bookmarkStart w:id="113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3"/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29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19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the first inequality because</w:t>
      </w:r>
      <w:r>
        <w:t xml:space="preserve"> </w:t>
      </w:r>
      <w:r>
        <w:t xml:space="preserve">the optimal rule weakly improves on any fixed rule, the second by hypothesis, a contradiction.</w:t>
      </w:r>
      <w:r>
        <w:t xml:space="preserve"> </w:t>
      </w:r>
      <w:r>
        <w:t xml:space="preserve">Hence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Symmetrically,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Neither dominance direction holds,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  <w:r>
        <w:t xml:space="preserve"> </w:t>
      </w:r>
      <w:r>
        <w:t xml:space="preserve">The caps are essential: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 under-perform on</w:t>
      </w:r>
      <w:r>
        <w:t xml:space="preserve"> </w:t>
      </w:r>
      <w:r>
        <w:t xml:space="preserve">the other, exactly the non-coherence phenomenon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19"/>
    <w:bookmarkStart w:id="120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0"/>
    <w:bookmarkStart w:id="121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1"/>
    <w:bookmarkStart w:id="122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2"/>
    <w:bookmarkStart w:id="123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3"/>
    <w:bookmarkStart w:id="125" w:name="why-a-naive-dkw-bound-fails"/>
    <w:p>
      <w:pPr>
        <w:pStyle w:val="Heading2"/>
      </w:pPr>
      <w:r>
        <w:t xml:space="preserve">Why a naive DKW bound fails</w:t>
      </w:r>
    </w:p>
    <w:bookmarkStart w:id="124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4"/>
    <w:bookmarkEnd w:id="125"/>
    <w:bookmarkStart w:id="127" w:name="relation-to-llm-evaluation-statistics"/>
    <w:p>
      <w:pPr>
        <w:pStyle w:val="Heading2"/>
      </w:pPr>
      <w:r>
        <w:t xml:space="preserve">Relation to LLM-evaluation statistics</w:t>
      </w:r>
    </w:p>
    <w:bookmarkStart w:id="126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6"/>
    <w:bookmarkEnd w:id="127"/>
    <w:bookmarkStart w:id="128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8"/>
    <w:bookmarkEnd w:id="129"/>
    <w:bookmarkStart w:id="137" w:name="app:record"/>
    <w:p>
      <w:pPr>
        <w:pStyle w:val="Heading1"/>
      </w:pPr>
      <w:r>
        <w:t xml:space="preserve">Extended experimental record</w:t>
      </w:r>
    </w:p>
    <w:bookmarkStart w:id="130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0"/>
    <w:bookmarkStart w:id="136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Five follow-up experiments address four threat axes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1"/>
    <w:bookmarkStart w:id="132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2"/>
    <w:bookmarkStart w:id="133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3"/>
    <w:bookmarkStart w:id="134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4"/>
    <w:bookmarkStart w:id="135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5"/>
    <w:bookmarkEnd w:id="136"/>
    <w:bookmarkEnd w:id="137"/>
    <w:bookmarkStart w:id="223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8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38"/>
    <w:bookmarkStart w:id="139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39"/>
    <w:bookmarkStart w:id="140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blackwell_n80_results.json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0"/>
    <w:bookmarkStart w:id="14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$210 figure is the Anthropic spend, not the total cost of all six models.</w:t>
      </w:r>
    </w:p>
    <w:bookmarkEnd w:id="141"/>
    <w:bookmarkStart w:id="222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1" w:name="refs"/>
    <w:bookmarkStart w:id="143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3"/>
    <w:bookmarkStart w:id="145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4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5"/>
    <w:bookmarkStart w:id="146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6"/>
    <w:bookmarkStart w:id="148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8"/>
    <w:bookmarkStart w:id="150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0"/>
    <w:bookmarkStart w:id="152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1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2"/>
    <w:bookmarkStart w:id="154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4"/>
    <w:bookmarkStart w:id="15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6"/>
    <w:bookmarkStart w:id="15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8"/>
    <w:bookmarkStart w:id="16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0"/>
    <w:bookmarkStart w:id="162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2"/>
    <w:bookmarkStart w:id="164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3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4"/>
    <w:bookmarkStart w:id="165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5"/>
    <w:bookmarkStart w:id="167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7"/>
    <w:bookmarkStart w:id="169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8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69"/>
    <w:bookmarkStart w:id="171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1"/>
    <w:bookmarkStart w:id="173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2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3"/>
    <w:bookmarkStart w:id="175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5"/>
    <w:bookmarkStart w:id="177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7"/>
    <w:bookmarkStart w:id="179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79"/>
    <w:bookmarkStart w:id="181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0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1"/>
    <w:bookmarkStart w:id="183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2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3"/>
    <w:bookmarkStart w:id="185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5"/>
    <w:bookmarkStart w:id="187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7"/>
    <w:bookmarkStart w:id="189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89"/>
    <w:bookmarkStart w:id="191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0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1"/>
    <w:bookmarkStart w:id="193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3"/>
    <w:bookmarkStart w:id="195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5"/>
    <w:bookmarkStart w:id="197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7"/>
    <w:bookmarkStart w:id="199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8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199"/>
    <w:bookmarkStart w:id="201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1"/>
    <w:bookmarkStart w:id="203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3"/>
    <w:bookmarkStart w:id="205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5"/>
    <w:bookmarkStart w:id="207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6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7"/>
    <w:bookmarkStart w:id="209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09"/>
    <w:bookmarkStart w:id="21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1"/>
    <w:bookmarkStart w:id="213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3"/>
    <w:bookmarkStart w:id="215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5"/>
    <w:bookmarkStart w:id="217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7"/>
    <w:bookmarkStart w:id="218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8"/>
    <w:bookmarkStart w:id="220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0"/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2026-07-07T19:44:45Z</dcterms:created>
  <dcterms:modified xsi:type="dcterms:W3CDTF">2026-07-07T19:44:45Z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value-deficiency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