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Is a Partial Order:</w:t>
      </w:r>
      <w:r>
        <w:br/>
      </w:r>
      <w:r>
        <w:t xml:space="preserve">A Blackwell Framework and Certified LLM Evidence</w:t>
      </w:r>
    </w:p>
    <w:p>
      <w:pPr>
        <w:pStyle w:val="Author"/>
      </w:pPr>
      <w:r>
        <w:t xml:space="preserve">Andriy Bilous</w:t>
      </w:r>
      <w:r>
        <w:br/>
      </w:r>
      <w:r>
        <w:t xml:space="preserve">Department of Information Systems and Networks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0009-0006-5467-7932</w:t>
      </w:r>
      <w:r>
        <w:br/>
      </w:r>
      <w:r>
        <w:rPr>
          <w:rStyle w:val="VerbatimChar"/>
        </w:rPr>
        <w:t xml:space="preserve">andriy.bilous@uitware.com</w:t>
      </w:r>
    </w:p>
    <w:p>
      <w:pPr>
        <w:pStyle w:val="Author"/>
      </w:pPr>
      <w:r>
        <w:t xml:space="preserve">Oleksandr Reminnyi</w:t>
      </w:r>
      <w:r>
        <w:br/>
      </w:r>
      <w:r>
        <w:t xml:space="preserve">Department of Computerized Automatic Systems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0009-0005-5119-3695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Context selection for language models is almost universally posed as a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ranking problem: score each candidate source, take the top-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this collapses a partial order. Modeling each context source as a</w:t>
      </w:r>
      <w:r>
        <w:t xml:space="preserve"> </w:t>
      </w:r>
      <w:r>
        <w:t xml:space="preserve">statistical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on the task’s latent requirement, we transport</w:t>
      </w:r>
      <w:r>
        <w:t xml:space="preserve"> </w:t>
      </w:r>
      <w:r>
        <w:t xml:space="preserve">Blackwell’s comparison of experiments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to context</w:t>
      </w:r>
      <w:r>
        <w:t xml:space="preserve"> </w:t>
      </w:r>
      <w:r>
        <w:t xml:space="preserve">selection: when two sources are Blackwell-incomparable, no query-independent</w:t>
      </w:r>
      <w:r>
        <w:t xml:space="preserve"> </w:t>
      </w:r>
      <w:r>
        <w:t xml:space="preserve">scalar can rank them correctly across all tasks, a formal account of the</w:t>
      </w:r>
      <w:r>
        <w:t xml:space="preserve"> </w:t>
      </w:r>
      <w:r>
        <w:t xml:space="preserve">field’s</w:t>
      </w:r>
      <w:r>
        <w:t xml:space="preserve"> </w:t>
      </w:r>
      <w:r>
        <w:t xml:space="preserve">“relevance-does-not-transfer”</w:t>
      </w:r>
      <w:r>
        <w:t xml:space="preserve"> </w:t>
      </w:r>
      <w:r>
        <w:t xml:space="preserve">folklore. To make the order measurable</w:t>
      </w:r>
      <w:r>
        <w:t xml:space="preserve"> </w:t>
      </w:r>
      <w:r>
        <w:t xml:space="preserve">on real models behind executable verifiers, we define a decision-restricted</w:t>
      </w:r>
      <w:r>
        <w:t xml:space="preserve"> </w:t>
      </w:r>
      <w:r>
        <w:t xml:space="preserve">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and equip it with a distribution-free finite-sample</w:t>
      </w:r>
      <w:r>
        <w:t xml:space="preserve"> </w:t>
      </w:r>
      <w:r>
        <w:rPr>
          <w:i/>
          <w:iCs/>
        </w:rPr>
        <w:t xml:space="preserve">certificate</w:t>
      </w:r>
      <w:r>
        <w:t xml:space="preserve">. On six language models across four vendors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both directions) that two private context sources are</w:t>
      </w:r>
      <w:r>
        <w:t xml:space="preserve"> </w:t>
      </w:r>
      <w:r>
        <w:t xml:space="preserve">empirically incomparable. Representative lexical, dense bi-encoder, and</w:t>
      </w:r>
      <w:r>
        <w:t xml:space="preserve"> </w:t>
      </w:r>
      <w:r>
        <w:t xml:space="preserve">cross-encoder rankers all prefer the wrong source on a confound-controlled</w:t>
      </w:r>
      <w:r>
        <w:t xml:space="preserve"> </w:t>
      </w:r>
      <w:r>
        <w:t xml:space="preserve">trap, while an LLM listwise reranker that reads the decisive content escapes,</w:t>
      </w:r>
      <w:r>
        <w:t xml:space="preserve"> </w:t>
      </w:r>
      <w:r>
        <w:t xml:space="preserve">the topicality boundary the theory predicts. We also show that supplying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 sufficient source collapses certified pass rates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 as low as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with order, length-padding, and</w:t>
      </w:r>
      <w:r>
        <w:t xml:space="preserve"> </w:t>
      </w:r>
      <w:r>
        <w:t xml:space="preserve">routing-instruction controls attributing the harm to the added signal, not</w:t>
      </w:r>
      <w:r>
        <w:t xml:space="preserve"> </w:t>
      </w:r>
      <w:r>
        <w:t xml:space="preserve">position or length. The conclusion is methodological: context</w:t>
      </w:r>
      <w:r>
        <w:t xml:space="preserve"> </w:t>
      </w:r>
      <w:r>
        <w:t xml:space="preserve">selection is a partial-order problem, and the right operational object is a</w:t>
      </w:r>
      <w:r>
        <w:t xml:space="preserve"> </w:t>
      </w:r>
      <w:r>
        <w:t xml:space="preserve">certified deficiency surrogate, not a scalar. The constructive selection rule</w:t>
      </w:r>
      <w:r>
        <w:t xml:space="preserve"> </w:t>
      </w:r>
      <w:r>
        <w:t xml:space="preserve">this implies is developed in a companion paper; scaling certified selection to</w:t>
      </w:r>
      <w:r>
        <w:t xml:space="preserve"> </w:t>
      </w:r>
      <w:r>
        <w:t xml:space="preserve">corpus retrieval is the central problem we leave open.</w:t>
      </w:r>
    </w:p>
    <w:bookmarkStart w:id="16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X2abf0849039852c2efd6e0deadbd09e41a7187f"/>
    <w:p>
      <w:pPr>
        <w:pStyle w:val="Heading4"/>
      </w:pPr>
      <w:r>
        <w:t xml:space="preserve">A folklore observation, restated as structure.</w:t>
      </w:r>
    </w:p>
    <w:p>
      <w:pPr>
        <w:pStyle w:val="FirstParagraph"/>
      </w:pPr>
      <w:r>
        <w:t xml:space="preserve">A persistent, informal observation undercuts the scalar paradigm:</w:t>
      </w:r>
      <w:r>
        <w:t xml:space="preserve"> </w:t>
      </w:r>
      <w:r>
        <w:rPr>
          <w:i/>
          <w:iCs/>
        </w:rPr>
        <w:t xml:space="preserve">relevance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transfer across tasks</w:t>
      </w:r>
      <w:r>
        <w:t xml:space="preserve">. A source that helps one task hurts another;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is task-dependent. This is usually treated as a modeling</w:t>
      </w:r>
      <w:r>
        <w:t xml:space="preserve"> </w:t>
      </w:r>
      <w:r>
        <w:t xml:space="preserve">nuisance to be engineered around with better rankers. We show it is the</w:t>
      </w:r>
      <w:r>
        <w:t xml:space="preserve"> </w:t>
      </w:r>
      <w:r>
        <w:t xml:space="preserve">signature of a</w:t>
      </w:r>
      <w:r>
        <w:t xml:space="preserve"> </w:t>
      </w:r>
      <w:r>
        <w:rPr>
          <w:i/>
          <w:iCs/>
        </w:rPr>
        <w:t xml:space="preserve">partial order</w:t>
      </w:r>
      <w:r>
        <w:t xml:space="preserve">. We model a 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statistical experiment on the task’s latent requirement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object a</w:t>
      </w:r>
      <w:r>
        <w:t xml:space="preserve"> </w:t>
      </w:r>
      <w:r>
        <w:t xml:space="preserve">verifier checks;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), which lets us import two classical</w:t>
      </w:r>
      <w:r>
        <w:t xml:space="preserve"> </w:t>
      </w:r>
      <w:r>
        <w:t xml:space="preserve">tools. Blackwell’s order ranks experiments by garbling: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 (garbled)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and, by the</w:t>
      </w:r>
      <w:r>
        <w:t xml:space="preserve"> </w:t>
      </w:r>
      <w:r>
        <w:t xml:space="preserve">Blackwell–Sherman–Stein theorem, this holds</w:t>
      </w:r>
      <w:r>
        <w:t xml:space="preserve"> </w:t>
      </w:r>
      <w:r>
        <w:rPr>
          <w:i/>
          <w:iCs/>
        </w:rPr>
        <w:t xml:space="preserve">iff</w:t>
      </w:r>
      <w:r>
        <w:t xml:space="preserve"> </w:t>
      </w:r>
      <w:r>
        <w:t xml:space="preserve">an idealized</w:t>
      </w:r>
      <w:r>
        <w:t xml:space="preserve"> </w:t>
      </w:r>
      <w:r>
        <w:t xml:space="preserve">decision-maker does at least as well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decision problem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order is</w:t>
      </w:r>
      <w:r>
        <w:t xml:space="preserve"> </w:t>
      </w:r>
      <w:r>
        <w:rPr>
          <w:i/>
          <w:iCs/>
        </w:rPr>
        <w:t xml:space="preserve">partial</w:t>
      </w:r>
      <w:r>
        <w:t xml:space="preserve">: many source pairs are incomparable, neither garbling the other.</w:t>
      </w:r>
      <w:r>
        <w:t xml:space="preserve"> </w:t>
      </w:r>
      <w:r>
        <w:t xml:space="preserve">Incomparability is exactly the regime in which no scalar summary can be faithful,</w:t>
      </w:r>
      <w:r>
        <w:t xml:space="preserve"> </w:t>
      </w:r>
      <w:r>
        <w:t xml:space="preserve">because a scalar is a total order and a total order extending a strict partial</w:t>
      </w:r>
      <w:r>
        <w:t xml:space="preserve"> </w:t>
      </w:r>
      <w:r>
        <w:t xml:space="preserve">order must invert at least one incomparable pair on some task.</w:t>
      </w:r>
    </w:p>
    <w:bookmarkEnd w:id="9"/>
    <w:bookmarkStart w:id="10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machinery, the garbling order, the Blackwell–Sherman–Stein equivalence, Le Cam’s</w:t>
      </w:r>
      <w:r>
        <w:t xml:space="preserve"> </w:t>
      </w:r>
      <w:r>
        <w:t xml:space="preserve">deficiency, is classical; our contribution is the application, the incomparability framing, and a</w:t>
      </w:r>
      <w:r>
        <w:t xml:space="preserve"> </w:t>
      </w:r>
      <w:r>
        <w:t xml:space="preserve">certified estimator (§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). One gap the framing must respect, and that we close,</w:t>
      </w:r>
      <w:r>
        <w:t xml:space="preserve"> </w:t>
      </w:r>
      <w:r>
        <w:t xml:space="preserve">concerns the decision rule: Blackwell’s theorem is about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(Bayes) use of an</w:t>
      </w:r>
      <w:r>
        <w:t xml:space="preserve"> </w:t>
      </w:r>
      <w:r>
        <w:t xml:space="preserve">experiment, whereas every quantity we measure,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is evaluated at a single fixed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</w:t>
      </w:r>
      <w:r>
        <w:t xml:space="preserve"> </w:t>
      </w:r>
      <w:r>
        <w:t xml:space="preserve">therefore develop the order in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register with a one-way bridge to the</w:t>
      </w:r>
      <w:r>
        <w:t xml:space="preserve"> </w:t>
      </w:r>
      <w:r>
        <w:t xml:space="preserve">idealized order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), confine every empirical claim to the restricted object, and</w:t>
      </w:r>
      <w:r>
        <w:t xml:space="preserve"> </w:t>
      </w:r>
      <w:r>
        <w:t xml:space="preserve">name the estimator a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</w:t>
      </w:r>
      <w:r>
        <w:t xml:space="preserve"> </w:t>
      </w:r>
      <w:r>
        <w:t xml:space="preserve">deficiency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10"/>
    <w:bookmarkStart w:id="11" w:name="X9dd93aab3e7d4daf67ece92ba62beeb03b6ebb5"/>
    <w:p>
      <w:pPr>
        <w:pStyle w:val="Heading4"/>
      </w:pPr>
      <w:r>
        <w:t xml:space="preserve">A latent-coordinate model that makes the order non-vacuous.</w:t>
      </w:r>
    </w:p>
    <w:p>
      <w:pPr>
        <w:pStyle w:val="FirstParagraph"/>
      </w:pPr>
      <w:r>
        <w:t xml:space="preserve">Fixed strings would naively be Blackwell-trivial constant experiments. We model the latent</w:t>
      </w:r>
      <w:r>
        <w:t xml:space="preserve"> </w:t>
      </w:r>
      <w:r>
        <w:t xml:space="preserve">requirement as a vector of coordinates and each source as a deterministic experiment observing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; comparison reduces to refinement of the projections’</w:t>
      </w:r>
      <w:r>
        <w:t xml:space="preserve"> </w:t>
      </w:r>
      <m:oMath>
        <m:r>
          <m:t>σ</m:t>
        </m:r>
      </m:oMath>
      <w:r>
        <w:t xml:space="preserve">-algebras, and</w:t>
      </w:r>
      <w:r>
        <w:t xml:space="preserve"> </w:t>
      </w:r>
      <w:r>
        <w:t xml:space="preserve">incomparability is mutual non-refinement, a property we establish for our concrete pair</w:t>
      </w:r>
      <w:r>
        <w:t xml:space="preserve"> </w:t>
      </w:r>
      <w:r>
        <w:t xml:space="preserve">(§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11"/>
    <w:bookmarkStart w:id="12" w:name="empirical-findings."/>
    <w:p>
      <w:pPr>
        <w:pStyle w:val="Heading4"/>
      </w:pPr>
      <w:r>
        <w:t xml:space="preserve">Empirical findings.</w:t>
      </w:r>
    </w:p>
    <w:p>
      <w:pPr>
        <w:pStyle w:val="FirstParagraph"/>
      </w:pPr>
      <w:r>
        <w:t xml:space="preserve">We instantiate the theory on two private, equally on-topic conventions about the</w:t>
      </w:r>
      <w:r>
        <w:t xml:space="preserve"> </w:t>
      </w:r>
      <w:r>
        <w:t xml:space="preserve">same module: an API 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wire-encoding 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), with a four-cell verifier battery using executable</w:t>
      </w:r>
      <w:r>
        <w:t xml:space="preserve"> </w:t>
      </w:r>
      <w:r>
        <w:t xml:space="preserve">PASS</w:t>
      </w:r>
      <m:oMath>
        <m:r>
          <m:rPr>
            <m:sty m:val="p"/>
          </m:rPr>
          <m:t>/</m:t>
        </m:r>
      </m:oMath>
      <w:r>
        <w:t xml:space="preserve">FAIL judgments (return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PASS). This imposes a</w:t>
      </w:r>
      <w:r>
        <w:t xml:space="preserve"> </w:t>
      </w:r>
      <w:r>
        <w:t xml:space="preserve">restriction: the battery is a fixed, adversarially constructed</w:t>
      </w:r>
      <w:r>
        <w:t xml:space="preserve"> </w:t>
      </w:r>
      <w:r>
        <w:t xml:space="preserve">opposition, not a sampled task distribution, and the certified incomparability is</w:t>
      </w:r>
      <w:r>
        <w:t xml:space="preserve"> </w:t>
      </w:r>
      <w:r>
        <w:t xml:space="preserve">carried by one API cell and one encoding cell; we report the effective support</w:t>
      </w:r>
      <w:r>
        <w:t xml:space="preserve"> </w:t>
      </w:r>
      <w:r>
        <w:t xml:space="preserve">explicitly and do not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</w:t>
      </w:r>
      <w:r>
        <w:t xml:space="preserve"> </w:t>
      </w:r>
      <w:r>
        <w:t xml:space="preserve">“distribution.”</w:t>
      </w:r>
      <w:r>
        <w:t xml:space="preserve"> </w:t>
      </w:r>
      <w:r>
        <w:t xml:space="preserve">On this instrument</w:t>
      </w:r>
      <w:r>
        <w:t xml:space="preserve"> </w:t>
      </w:r>
      <w:r>
        <w:t xml:space="preserve">we obtain, on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model calls with no modeled numbers: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empirical incomparability on all six models.</w:t>
      </w:r>
      <w:r>
        <w:t xml:space="preserve"> </w:t>
      </w:r>
      <w:r>
        <w:t xml:space="preserve">The</w:t>
      </w:r>
      <w:r>
        <w:t xml:space="preserve"> </w:t>
      </w:r>
      <w:r>
        <w:t xml:space="preserve">uniform certificate clears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directions:</w:t>
      </w:r>
      <w:r>
        <w:t xml:space="preserve"> </w:t>
      </w:r>
      <w:r>
        <w:t xml:space="preserve">the two-sided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Haiku-4.5</w:t>
      </w:r>
      <w:r>
        <w:t xml:space="preserve"> </w:t>
      </w:r>
      <m:oMath>
        <m:r>
          <m:rPr>
            <m:sty m:val="p"/>
          </m:rPr>
          <m:t>+</m:t>
        </m:r>
        <m:r>
          <m:t>0.88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),</w:t>
      </w:r>
      <w:r>
        <w:t xml:space="preserve"> </w:t>
      </w:r>
      <w:r>
        <w:t xml:space="preserve">Sonnet-4.6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Opus-4.8</w:t>
      </w:r>
      <w:r>
        <w:t xml:space="preserve"> </w:t>
      </w:r>
      <m:oMath>
        <m:r>
          <m:rPr>
            <m:sty m:val="p"/>
          </m:rPr>
          <m:t>+</m:t>
        </m:r>
        <m:r>
          <m:t>0.55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0.55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),</w:t>
      </w:r>
      <w:r>
        <w:t xml:space="preserve"> </w:t>
      </w:r>
      <w:r>
        <w:t xml:space="preserve">GPT-5.5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DeepSeek-V4-Pro</w:t>
      </w:r>
      <w:r>
        <w:t xml:space="preserve"> </w:t>
      </w:r>
      <m:oMath>
        <m:r>
          <m:rPr>
            <m:sty m:val="p"/>
          </m:rPr>
          <m:t>+</m:t>
        </m:r>
        <m:r>
          <m:t>0.347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0.715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and</w:t>
      </w:r>
      <w:r>
        <w:t xml:space="preserve"> </w:t>
      </w:r>
      <w:r>
        <w:t xml:space="preserve">Kimi-K2.6</w:t>
      </w:r>
      <w:r>
        <w:t xml:space="preserve"> </w:t>
      </w:r>
      <m:oMath>
        <m:r>
          <m:rPr>
            <m:sty m:val="p"/>
          </m:rPr>
          <m:t>+</m:t>
        </m:r>
        <m:r>
          <m:t>0.675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). Incomparability is therefore not a</w:t>
      </w:r>
      <w:r>
        <w:t xml:space="preserve"> </w:t>
      </w:r>
      <w:r>
        <w:t xml:space="preserve">single-lab artifact.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Representative topical rankers mis-rank the pair.</w:t>
      </w:r>
      <w:r>
        <w:t xml:space="preserve"> </w:t>
      </w:r>
      <w:r>
        <w:t xml:space="preserve">On a trap task</w:t>
      </w:r>
      <w:r>
        <w:t xml:space="preserve"> </w:t>
      </w:r>
      <w:r>
        <w:t xml:space="preserve">saturated with encoding vocabulary, query-conditioned lexical relevance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</w:t>
      </w:r>
      <w:r>
        <w:t xml:space="preserve"> </w:t>
      </w:r>
      <w:r>
        <w:t xml:space="preserve">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(e.g. </w:t>
      </w:r>
      <m:oMath>
        <m:r>
          <m:t>96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</w:t>
      </w:r>
      <w:r>
        <w:t xml:space="preserve"> </w:t>
      </w:r>
      <w:r>
        <w:t xml:space="preserve">same mis-rank is realized by two dense bi-encoders and a cross-encoder</w:t>
      </w:r>
      <w:r>
        <w:t xml:space="preserve"> </w:t>
      </w:r>
      <w:r>
        <w:t xml:space="preserve">reranker, while an LLM listwise reranker ranks the trap correctly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). On the honest tasks every ranker agrees with</w:t>
      </w:r>
      <w:r>
        <w:t xml:space="preserve"> </w:t>
      </w:r>
      <w:r>
        <w:t xml:space="preserve">PASS; failure occurs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surface relevance diverges from</w:t>
      </w:r>
      <w:r>
        <w:t xml:space="preserve"> </w:t>
      </w:r>
      <w:r>
        <w:t xml:space="preserve">verifier-decisive content,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predicts: topical feature-based</w:t>
      </w:r>
      <w:r>
        <w:t xml:space="preserve"> </w:t>
      </w:r>
      <w:r>
        <w:t xml:space="preserve">rankers must fail there, while rankers that read the decisive coordinate can</w:t>
      </w:r>
      <w:r>
        <w:t xml:space="preserve"> </w:t>
      </w:r>
      <w:r>
        <w:t xml:space="preserve">escape.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anti-monotonicity.</w:t>
      </w:r>
      <w:r>
        <w:t xml:space="preserve"> </w:t>
      </w: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​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cells:</w:t>
      </w:r>
      <w:r>
        <w:t xml:space="preserve"> </w:t>
      </w:r>
      <w:r>
        <w:t xml:space="preserve">Sonnet and Kimi collapse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</w:t>
      </w:r>
      <w:r>
        <w:t xml:space="preserve"> </w:t>
      </w:r>
      <w:r>
        <w:t xml:space="preserve">certified upper bound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0.69</m:t>
        </m:r>
      </m:oMath>
      <w:r>
        <w:t xml:space="preserve">); GPT-5.5 certifies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0.60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The interference certificate clears on at least one</w:t>
      </w:r>
      <w:r>
        <w:t xml:space="preserve"> </w:t>
      </w:r>
      <w:r>
        <w:t xml:space="preserve">cell for five of six models (Opus reproduces,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, but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too few to certify; we give the power argument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An order control shows the harm does not recover</w:t>
      </w:r>
      <w:r>
        <w:t xml:space="preserve"> </w:t>
      </w:r>
      <w:r>
        <w:t xml:space="preserve">under reordering, so it is not a lost-in-the-middle artifact, and a</w:t>
      </w:r>
      <w:r>
        <w:t xml:space="preserve"> </w:t>
      </w:r>
      <w:r>
        <w:t xml:space="preserve">length-matched padding control shows equal-length irrelevant text is</w:t>
      </w:r>
      <w:r>
        <w:t xml:space="preserve"> </w:t>
      </w:r>
      <w:r>
        <w:t xml:space="preserve">harmless, so it is not a token-count artifact either. One</w:t>
      </w:r>
      <w:r>
        <w:t xml:space="preserve"> </w:t>
      </w:r>
      <w:r>
        <w:t xml:space="preserve">caveat: the effect is large and robust across the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 capability (Sonnet, the middle model, is the starkest;</w:t>
      </w:r>
      <w:r>
        <w:t xml:space="preserve"> </w:t>
      </w:r>
      <w:r>
        <w:t xml:space="preserve">Opus, the strongest, less so), so we claim no capability trend.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supporting observation: private-context value is model-relative.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baselines span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guessability across vendors</w:t>
      </w:r>
      <w:r>
        <w:t xml:space="preserve"> </w:t>
      </w:r>
      <w:r>
        <w:t xml:space="preserve">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), an empirical instance of the theory’s</w:t>
      </w:r>
      <w:r>
        <w:t xml:space="preserve"> </w:t>
      </w:r>
      <m:oMath>
        <m:r>
          <m:t>θ</m:t>
        </m:r>
      </m:oMath>
      <w:r>
        <w:t xml:space="preserve">-dependence; we report it as supporting evidence, it caps which cells</w:t>
      </w:r>
      <w:r>
        <w:t xml:space="preserve"> </w:t>
      </w:r>
      <w:r>
        <w:t xml:space="preserve">can be certified per model, not as a headline claim.</w:t>
      </w:r>
    </w:p>
    <w:bookmarkEnd w:id="12"/>
    <w:bookmarkStart w:id="13" w:name="methodological-asymmetry."/>
    <w:p>
      <w:pPr>
        <w:pStyle w:val="Heading4"/>
      </w:pPr>
      <w:r>
        <w:t xml:space="preserve">Methodological asymmetry.</w:t>
      </w:r>
    </w:p>
    <w:p>
      <w:pPr>
        <w:pStyle w:val="FirstParagraph"/>
      </w:pPr>
      <w:r>
        <w:t xml:space="preserve">The Anthropic models run agentically (</w:t>
      </w:r>
      <w:r>
        <w:rPr>
          <w:rStyle w:val="VerbatimChar"/>
        </w:rPr>
        <w:t xml:space="preserve">claude -p</w:t>
      </w:r>
      <w:r>
        <w:t xml:space="preserve">, up to six turns); the</w:t>
      </w:r>
      <w:r>
        <w:t xml:space="preserve"> </w:t>
      </w:r>
      <w:r>
        <w:t xml:space="preserve">non-Anthropic models run single-shot (completion plus code extraction via an</w:t>
      </w:r>
      <w:r>
        <w:t xml:space="preserve"> </w:t>
      </w:r>
      <w:r>
        <w:t xml:space="preserve">OpenAI-style API). We flag this throughout: vendor is confounded with harness, so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cross-vendor magnitude</w:t>
      </w:r>
      <w:r>
        <w:t xml:space="preserve"> </w:t>
      </w:r>
      <w:r>
        <w:t xml:space="preserve">comparison (the value spectrum, the</w:t>
      </w:r>
      <w:r>
        <w:t xml:space="preserve"> </w:t>
      </w:r>
      <w:r>
        <w:t xml:space="preserve">interference ladder) inherits that confound, whereas the binary within-model</w:t>
      </w:r>
      <w:r>
        <w:t xml:space="preserve"> </w:t>
      </w:r>
      <w:r>
        <w:t xml:space="preserve">claims do not. The single-shot setting is arguably a</w:t>
      </w:r>
      <w:r>
        <w:t xml:space="preserve"> </w:t>
      </w:r>
      <w:r>
        <w:rPr>
          <w:i/>
          <w:iCs/>
        </w:rPr>
        <w:t xml:space="preserve">cleaner</w:t>
      </w:r>
      <w:r>
        <w:t xml:space="preserve"> </w:t>
      </w:r>
      <w:r>
        <w:t xml:space="preserve">probe of</w:t>
      </w:r>
      <w:r>
        <w:t xml:space="preserve"> </w:t>
      </w:r>
      <w:r>
        <w:t xml:space="preserve">whether a model uses supplied context, since it removes the agentic-exploration</w:t>
      </w:r>
      <w:r>
        <w:t xml:space="preserve"> </w:t>
      </w:r>
      <w:r>
        <w:t xml:space="preserve">confound; we treat the asymmetry as a limitation to be reported, not explained</w:t>
      </w:r>
      <w:r>
        <w:t xml:space="preserve"> </w:t>
      </w:r>
      <w:r>
        <w:t xml:space="preserve">away.</w:t>
      </w:r>
    </w:p>
    <w:bookmarkEnd w:id="13"/>
    <w:bookmarkStart w:id="14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context selection is a partial-order</w:t>
      </w:r>
      <w:r>
        <w:t xml:space="preserve"> </w:t>
      </w:r>
      <w:r>
        <w:t xml:space="preserve">problem rather than a scalar-ranking problem, and contributes exactly the three pieces that</w:t>
      </w:r>
      <w:r>
        <w:t xml:space="preserve"> </w:t>
      </w:r>
      <w:r>
        <w:t xml:space="preserve">claim needs.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Theory: context sources form a Blackwell partial order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,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The central consequence is incomparability: Blackwell-incomparable sources cannot be</w:t>
      </w:r>
      <w:r>
        <w:t xml:space="preserve"> </w:t>
      </w:r>
      <w:r>
        <w:t xml:space="preserve">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query-independent scalar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tasks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with the query-conditioned topical case isolated separately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). Information retrieval has long argued that no single</w:t>
      </w:r>
      <w:r>
        <w:t xml:space="preserve"> </w:t>
      </w:r>
      <w:r>
        <w:t xml:space="preserve">fixed document score is optimal once documents interact 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we derive the</w:t>
      </w:r>
      <w:r>
        <w:t xml:space="preserve"> </w:t>
      </w:r>
      <w:r>
        <w:t xml:space="preserve">impossibility as a theorem in the Blackwell frame.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Certificate: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certificate: exact</w:t>
      </w:r>
      <w:r>
        <w:t xml:space="preserve"> </w:t>
      </w:r>
      <w:r>
        <w:t xml:space="preserve">Clopper–Pearson intervals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</w:t>
      </w:r>
      <w:hyperlink w:anchor="ref-bonferroni1936">
        <w:r>
          <w:rPr>
            <w:rStyle w:val="Hyperlink"/>
          </w:rPr>
          <w:t xml:space="preserve">Bonferroni 1936</w:t>
        </w:r>
      </w:hyperlink>
      <w:r>
        <w:t xml:space="preserve">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; we argue why a naive DKW bound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under-covers the</w:t>
      </w:r>
      <w:r>
        <w:t xml:space="preserve"> </w:t>
      </w:r>
      <w:r>
        <w:t xml:space="preserve">supremum, and give the matching interference certificate.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Evidence: certified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Certified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certified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4"/>
    <w:bookmarkStart w:id="15" w:name="roadmap."/>
    <w:p>
      <w:pPr>
        <w:pStyle w:val="Heading4"/>
      </w:pPr>
      <w:r>
        <w:t xml:space="preserve">Roadmap.</w:t>
      </w:r>
    </w:p>
    <w:p>
      <w:pPr>
        <w:pStyle w:val="FirstParagraph"/>
      </w:pPr>
      <w:r>
        <w:t xml:space="preserve">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positions the work against scalar context-selection criteria</w:t>
      </w:r>
      <w:r>
        <w:t xml:space="preserve"> </w:t>
      </w:r>
      <w:r>
        <w:t xml:space="preserve">and the recent transport of comparison-of-experiments into machine learning, and</w:t>
      </w:r>
      <w:r>
        <w:t xml:space="preserve"> </w:t>
      </w:r>
      <w:r>
        <w:t xml:space="preserve">frames our delta as application-plus-framing-plus-estimator rather than new core</w:t>
      </w:r>
      <w:r>
        <w:t xml:space="preserve"> </w:t>
      </w:r>
      <w:r>
        <w:t xml:space="preserve">mathematics.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latent-coordinate experiment</w:t>
      </w:r>
      <w:r>
        <w:t xml:space="preserve"> </w:t>
      </w:r>
      <w:r>
        <w:t xml:space="preserve">model, defines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order, and states the</w:t>
      </w:r>
      <w:r>
        <w:t xml:space="preserve"> </w:t>
      </w:r>
      <w:r>
        <w:t xml:space="preserve">non-refinement (hence incomparability) construction. 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develops</w:t>
      </w:r>
      <w:r>
        <w:t xml:space="preserve"> </w:t>
      </w:r>
      <w:r>
        <w:t xml:space="preserve">the partial order and the bridging lemma, and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proves</w:t>
      </w:r>
      <w:r>
        <w:t xml:space="preserve"> </w:t>
      </w:r>
      <w:r>
        <w:t xml:space="preserve">the source-level incomparability statement and isolates the query-conditioned</w:t>
      </w:r>
      <w:r>
        <w:t xml:space="preserve"> </w:t>
      </w:r>
      <w:r>
        <w:t xml:space="preserve">case (C1).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defines the surrogate, the uniform certificate,</w:t>
      </w:r>
      <w:r>
        <w:t xml:space="preserve"> </w:t>
      </w:r>
      <w:r>
        <w:t xml:space="preserve">and the interference certificate, and relates the surrogate to the true Le Cam</w:t>
      </w:r>
      <w:r>
        <w:t xml:space="preserve"> </w:t>
      </w:r>
      <w:r>
        <w:t xml:space="preserve">deficiency (C2).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reports the six-model program with full</w:t>
      </w:r>
      <w:r>
        <w:t xml:space="preserve"> </w:t>
      </w:r>
      <w:r>
        <w:t xml:space="preserve">per-cell tables (C3).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 </w:t>
      </w:r>
      <w:r>
        <w:t xml:space="preserve">states threats to validity and</w:t>
      </w:r>
      <w:r>
        <w:t xml:space="preserve"> </w:t>
      </w:r>
      <w:r>
        <w:t xml:space="preserve">scope, and §</w:t>
      </w:r>
      <w:hyperlink w:anchor="sec:conclus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 Proofs of the two central impossibility results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 accompany their</w:t>
      </w:r>
      <w:r>
        <w:t xml:space="preserve"> </w:t>
      </w:r>
      <w:r>
        <w:t xml:space="preserve">statements; the remaining proofs and technical material are deferred to</w:t>
      </w:r>
      <w:r>
        <w:t xml:space="preserve"> </w:t>
      </w:r>
      <w:r>
        <w:t xml:space="preserve">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, the extended experimental record to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and</w:t>
      </w:r>
      <w:r>
        <w:t xml:space="preserve"> </w:t>
      </w:r>
      <w:r>
        <w:t xml:space="preserve">protocol and artifact details to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Every reference has been verified</w:t>
      </w:r>
      <w:r>
        <w:t xml:space="preserve"> </w:t>
      </w:r>
      <w:r>
        <w:t xml:space="preserve">against arXiv/DBLP/publisher records.</w:t>
      </w:r>
    </w:p>
    <w:bookmarkEnd w:id="15"/>
    <w:bookmarkEnd w:id="16"/>
    <w:bookmarkStart w:id="24" w:name="sec:related"/>
    <w:p>
      <w:pPr>
        <w:pStyle w:val="Heading1"/>
      </w:pPr>
      <w:r>
        <w:t xml:space="preserve">Related Work</w:t>
      </w:r>
    </w:p>
    <w:bookmarkStart w:id="17" w:name="positioning."/>
    <w:p>
      <w:pPr>
        <w:pStyle w:val="Heading4"/>
      </w:pPr>
      <w:r>
        <w:t xml:space="preserve">Positioning.</w:t>
      </w:r>
    </w:p>
    <w:p>
      <w:pPr>
        <w:pStyle w:val="FirstParagraph"/>
      </w:pPr>
      <w:r>
        <w:t xml:space="preserve">The machinery we use, Blackwell’s garbling order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and Le Cam’s</w:t>
      </w:r>
      <w:r>
        <w:t xml:space="preserve"> </w:t>
      </w:r>
      <w:r>
        <w:t xml:space="preserve">deficiency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is classical, and we claim no new core mathematics.</w:t>
      </w:r>
      <w:r>
        <w:t xml:space="preserve"> </w:t>
      </w:r>
      <w:r>
        <w:t xml:space="preserve">Our contribution is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, a</w:t>
      </w:r>
      <w:r>
        <w:t xml:space="preserve"> </w:t>
      </w:r>
      <w:r>
        <w:rPr>
          <w:i/>
          <w:iCs/>
        </w:rPr>
        <w:t xml:space="preserve">framing</w:t>
      </w:r>
      <w:r>
        <w:t xml:space="preserve">, and an</w:t>
      </w:r>
      <w:r>
        <w:t xml:space="preserve"> </w:t>
      </w:r>
      <w:r>
        <w:rPr>
          <w:i/>
          <w:iCs/>
        </w:rPr>
        <w:t xml:space="preserve">estimator</w:t>
      </w:r>
      <w:r>
        <w:t xml:space="preserve">:</w:t>
      </w:r>
      <w:r>
        <w:t xml:space="preserve"> </w:t>
      </w:r>
      <w:r>
        <w:t xml:space="preserve">(i) we treat each candidate context source for a language model as a statistical experiment</w:t>
      </w:r>
      <w:r>
        <w:t xml:space="preserve"> </w:t>
      </w:r>
      <w:r>
        <w:t xml:space="preserve">on the task’s latent requirement and rank sources by the Blackwell order, with a</w:t>
      </w:r>
      <w:r>
        <w:t xml:space="preserve"> </w:t>
      </w:r>
      <w:r>
        <w:t xml:space="preserve">decision-independent, for-all-tasks dominance guarantee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);</w:t>
      </w:r>
      <w:r>
        <w:t xml:space="preserve"> </w:t>
      </w:r>
      <w:r>
        <w:t xml:space="preserve">(ii) we observe, as an application-level corollary of Blackwell’s theorem, that</w:t>
      </w:r>
      <w:r>
        <w:t xml:space="preserve"> </w:t>
      </w:r>
      <w:r>
        <w:t xml:space="preserve">Blackwell-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sources cannot be ranked by any scalar score for all tasks</w:t>
      </w:r>
      <w:r>
        <w:t xml:space="preserve"> </w:t>
      </w:r>
      <w:r>
        <w:t xml:space="preserve">(§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), which converts the empirical folklore that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 across tasks”</w:t>
      </w:r>
      <w:r>
        <w:t xml:space="preserve"> </w:t>
      </w:r>
      <w:r>
        <w:t xml:space="preserve">into a theorem, formalizing within the Blackwell frame a</w:t>
      </w:r>
      <w:r>
        <w:t xml:space="preserve"> </w:t>
      </w:r>
      <w:r>
        <w:t xml:space="preserve">limitation that information retrieval has long recognized for interacting documents</w:t>
      </w:r>
      <w:r>
        <w:t xml:space="preserve"> </w:t>
      </w:r>
      <w:r>
        <w:t xml:space="preserve">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and</w:t>
      </w:r>
      <w:r>
        <w:t xml:space="preserve"> </w:t>
      </w:r>
      <w:r>
        <w:t xml:space="preserve">(iii) we supply a Le Cam-inspired,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with a</w:t>
      </w:r>
      <w:r>
        <w:t xml:space="preserve"> </w:t>
      </w:r>
      <w:r>
        <w:t xml:space="preserve">distribution-free finite-sample certificate that is auditable on a real model with a real</w:t>
      </w:r>
      <w:r>
        <w:t xml:space="preserve"> </w:t>
      </w:r>
      <w:r>
        <w:t xml:space="preserve">verifier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To our knowledge,</w:t>
      </w:r>
      <w:r>
        <w:t xml:space="preserve"> </w:t>
      </w:r>
      <w:r>
        <w:t xml:space="preserve">no prior work applies the comparison of experiments to selecting inference-time context for</w:t>
      </w:r>
      <w:r>
        <w:t xml:space="preserve"> </w:t>
      </w:r>
      <w:r>
        <w:t xml:space="preserve">language models.</w:t>
      </w:r>
    </w:p>
    <w:bookmarkEnd w:id="17"/>
    <w:bookmarkStart w:id="19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8" w:name="sec:related-ir"/>
      <w:bookmarkEnd w:id="18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</w:t>
      </w:r>
      <w:hyperlink w:anchor="ref-rankrag2024">
        <w:r>
          <w:rPr>
            <w:rStyle w:val="Hyperlink"/>
          </w:rPr>
          <w:t xml:space="preserve">Yu et al. 2024</w:t>
        </w:r>
      </w:hyperlink>
      <w:r>
        <w:t xml:space="preserve">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;</w:t>
      </w:r>
      <w:r>
        <w:t xml:space="preserve"> </w:t>
      </w:r>
      <w:hyperlink w:anchor="ref-cale2025">
        <w:r>
          <w:rPr>
            <w:rStyle w:val="Hyperlink"/>
          </w:rPr>
          <w:t xml:space="preserve">Yuan et al. 2025</w:t>
        </w:r>
      </w:hyperlink>
      <w:r>
        <w:t xml:space="preserve">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</w:t>
      </w:r>
      <w:hyperlink w:anchor="ref-bedllm2026">
        <w:r>
          <w:rPr>
            <w:rStyle w:val="Hyperlink"/>
          </w:rPr>
          <w:t xml:space="preserve">Choudhury et al. 2025</w:t>
        </w:r>
      </w:hyperlink>
      <w:r>
        <w:t xml:space="preserve">;</w:t>
      </w:r>
      <w:r>
        <w:t xml:space="preserve"> </w:t>
      </w:r>
      <w:hyperlink w:anchor="ref-conformalip2025">
        <w:r>
          <w:rPr>
            <w:rStyle w:val="Hyperlink"/>
          </w:rPr>
          <w:t xml:space="preserve">Chan et al. 2025</w:t>
        </w:r>
      </w:hyperlink>
      <w:r>
        <w:t xml:space="preserve">)</w:t>
      </w:r>
      <w:r>
        <w:t xml:space="preserve">; game-theoretic and influence-based</w:t>
      </w:r>
      <w:r>
        <w:t xml:space="preserve"> </w:t>
      </w:r>
      <w:r>
        <w:t xml:space="preserve">demonstration valuation </w:t>
      </w:r>
      <w:r>
        <w:t xml:space="preserve">(</w:t>
      </w:r>
      <w:hyperlink w:anchor="ref-demoshapley2024">
        <w:r>
          <w:rPr>
            <w:rStyle w:val="Hyperlink"/>
          </w:rPr>
          <w:t xml:space="preserve">Xie et al. 2024</w:t>
        </w:r>
      </w:hyperlink>
      <w:r>
        <w:t xml:space="preserve">;</w:t>
      </w:r>
      <w:r>
        <w:t xml:space="preserve"> </w:t>
      </w:r>
      <w:hyperlink w:anchor="ref-inficl2024">
        <w:r>
          <w:rPr>
            <w:rStyle w:val="Hyperlink"/>
          </w:rPr>
          <w:t xml:space="preserve">Vinay et al. 2024</w:t>
        </w:r>
      </w:hyperlink>
      <w:r>
        <w:t xml:space="preserve">)</w:t>
      </w:r>
      <w:r>
        <w:t xml:space="preserve">; and binary sufficient-context</w:t>
      </w:r>
      <w:r>
        <w:t xml:space="preserve"> </w:t>
      </w:r>
      <w:r>
        <w:t xml:space="preserve">detection </w:t>
      </w:r>
      <w:r>
        <w:t xml:space="preserve">(</w:t>
      </w:r>
      <w:hyperlink w:anchor="ref-sufficientcontext2024">
        <w:r>
          <w:rPr>
            <w:rStyle w:val="Hyperlink"/>
          </w:rPr>
          <w:t xml:space="preserve">Joren et al. 2024</w:t>
        </w:r>
      </w:hyperlink>
      <w:r>
        <w:t xml:space="preserve">)</w:t>
      </w:r>
      <w:r>
        <w:t xml:space="preserve">. Each collapses the comparison of two sources to one real</w:t>
      </w:r>
      <w:r>
        <w:t xml:space="preserve"> </w:t>
      </w:r>
      <w:r>
        <w:t xml:space="preserve">number and is therefore a scalar in the precise sense of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: not a</w:t>
      </w:r>
      <w:r>
        <w:t xml:space="preserve"> </w:t>
      </w:r>
      <w:r>
        <w:t xml:space="preserve">competitor to out-perform but an instance of the class the theorem rules out (we prove</w:t>
      </w:r>
      <w:r>
        <w:t xml:space="preserve"> </w:t>
      </w:r>
      <w:r>
        <w:t xml:space="preserve">Blackwell-monotonicity for the closest neighbor,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</w:t>
      </w:r>
      <w:r>
        <w:t xml:space="preserve"> </w:t>
      </w:r>
      <w:r>
        <w:t xml:space="preserve">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, and conjecture it for the rest). Two families sit at the</w:t>
      </w:r>
      <w:r>
        <w:t xml:space="preserve"> </w:t>
      </w:r>
      <w:r>
        <w:t xml:space="preserve">boundary of the class. Listwise LLM rerankers </w:t>
      </w:r>
      <w:r>
        <w:t xml:space="preserve">(</w:t>
      </w:r>
      <w:hyperlink w:anchor="ref-sun2023rankgpt">
        <w:r>
          <w:rPr>
            <w:rStyle w:val="Hyperlink"/>
          </w:rPr>
          <w:t xml:space="preserve">Sun et al. 2023</w:t>
        </w:r>
      </w:hyperlink>
      <w:r>
        <w:t xml:space="preserve">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scope, though they carry no dominance guarantee of any</w:t>
      </w:r>
      <w:r>
        <w:t xml:space="preserve"> </w:t>
      </w:r>
      <w:r>
        <w:t xml:space="preserve">kind; and diversity-aware selection, from MMR </w:t>
      </w:r>
      <w:r>
        <w:t xml:space="preserve">(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</w:t>
      </w:r>
      <w:hyperlink w:anchor="ref-ye2023ceil">
        <w:r>
          <w:rPr>
            <w:rStyle w:val="Hyperlink"/>
          </w:rPr>
          <w:t xml:space="preserve">Ye et al. 2023</w:t>
        </w:r>
      </w:hyperlink>
      <w:r>
        <w:t xml:space="preserve">)</w:t>
      </w:r>
      <w:r>
        <w:t xml:space="preserve"> </w:t>
      </w:r>
      <w:r>
        <w:t xml:space="preserve">and submodular coverage </w:t>
      </w:r>
      <w:r>
        <w:t xml:space="preserve">(</w:t>
      </w:r>
      <w:hyperlink w:anchor="ref-huang2025gammacover">
        <w:r>
          <w:rPr>
            <w:rStyle w:val="Hyperlink"/>
          </w:rPr>
          <w:t xml:space="preserve">Huang 2025</w:t>
        </w:r>
      </w:hyperlink>
      <w:r>
        <w:t xml:space="preserve">)</w:t>
      </w:r>
      <w:r>
        <w:t xml:space="preserve">, optimizes set</w:t>
      </w:r>
      <w:r>
        <w:t xml:space="preserve"> </w:t>
      </w:r>
      <w:r>
        <w:t xml:space="preserve">objectives over embedding geometry, whose partial-order-grounded analogue (certified coverage of</w:t>
      </w:r>
      <w:r>
        <w:t xml:space="preserve"> </w:t>
      </w:r>
      <w:r>
        <w:t xml:space="preserve">latent coordinates) we develop in a companion paper.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</w:t>
      </w:r>
      <w:hyperlink w:anchor="ref-robertson1977">
        <w:r>
          <w:rPr>
            <w:rStyle w:val="Hyperlink"/>
          </w:rPr>
          <w:t xml:space="preserve">Robertson 1977</w:t>
        </w:r>
      </w:hyperlink>
      <w:r>
        <w:t xml:space="preserve">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</w:t>
      </w:r>
      <w:hyperlink w:anchor="ref-fuhr2008">
        <w:r>
          <w:rPr>
            <w:rStyle w:val="Hyperlink"/>
          </w:rPr>
          <w:t xml:space="preserve">Fuhr 2008</w:t>
        </w:r>
      </w:hyperlink>
      <w:r>
        <w:t xml:space="preserve">;</w:t>
      </w:r>
      <w:r>
        <w:t xml:space="preserve"> 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, and the LLM-era version,</w:t>
      </w:r>
      <w:r>
        <w:t xml:space="preserve"> </w:t>
      </w:r>
      <w:r>
        <w:t xml:space="preserve">relevance-maximizing retrieval degrading answer quality, is measured</w:t>
      </w:r>
      <w:r>
        <w:t xml:space="preserve"> </w:t>
      </w:r>
      <w:r>
        <w:t xml:space="preserve">directly </w:t>
      </w:r>
      <w:r>
        <w:t xml:space="preserve">(</w:t>
      </w:r>
      <w:hyperlink w:anchor="ref-relevanceutility2025">
        <w:r>
          <w:rPr>
            <w:rStyle w:val="Hyperlink"/>
          </w:rPr>
          <w:t xml:space="preserve">LeVine and Varjavand 2025</w:t>
        </w:r>
      </w:hyperlink>
      <w:r>
        <w:t xml:space="preserve">;</w:t>
      </w:r>
      <w:r>
        <w:t xml:space="preserve"> </w:t>
      </w:r>
      <w:hyperlink w:anchor="ref-sureRAG2026">
        <w:r>
          <w:rPr>
            <w:rStyle w:val="Hyperlink"/>
          </w:rPr>
          <w:t xml:space="preserve">Qiu et al. 2026</w:t>
        </w:r>
      </w:hyperlink>
      <w:r>
        <w:t xml:space="preserve">)</w:t>
      </w:r>
      <w:r>
        <w:t xml:space="preserve">. Our delta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</w:t>
      </w:r>
      <w:r>
        <w:t xml:space="preserve"> </w:t>
      </w:r>
      <w:r>
        <w:t xml:space="preserve">the failure becomes a theorem in the comparison-of-experiments frame, with the precise structural</w:t>
      </w:r>
      <w:r>
        <w:t xml:space="preserve"> </w:t>
      </w:r>
      <w:r>
        <w:t xml:space="preserve">condition, Blackwell incomparability, under which every query-independent scalar must mis-rank,</w:t>
      </w:r>
      <w:r>
        <w:t xml:space="preserve"> </w:t>
      </w:r>
      <w:r>
        <w:t xml:space="preserve">and a certified live instance on six production models.</w:t>
      </w:r>
    </w:p>
    <w:bookmarkEnd w:id="19"/>
    <w:bookmarkStart w:id="20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</w:t>
      </w:r>
      <w:hyperlink w:anchor="ref-shi2023distracted">
        <w:r>
          <w:rPr>
            <w:rStyle w:val="Hyperlink"/>
          </w:rPr>
          <w:t xml:space="preserve">Shi et al. 2023</w:t>
        </w:r>
      </w:hyperlink>
      <w:r>
        <w:t xml:space="preserve">)</w:t>
      </w:r>
      <w:r>
        <w:t xml:space="preserve">; position matters </w:t>
      </w:r>
      <w:r>
        <w:t xml:space="preserve">(</w:t>
      </w:r>
      <w:hyperlink w:anchor="ref-liu2024lost">
        <w:r>
          <w:rPr>
            <w:rStyle w:val="Hyperlink"/>
          </w:rPr>
          <w:t xml:space="preserve">Liu et al.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</w:t>
      </w:r>
      <w:hyperlink w:anchor="ref-cuconasu2024noise">
        <w:r>
          <w:rPr>
            <w:rStyle w:val="Hyperlink"/>
          </w:rPr>
          <w:t xml:space="preserve">Cuconasu et al. 2024</w:t>
        </w:r>
      </w:hyperlink>
      <w:r>
        <w:t xml:space="preserve">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</w:t>
      </w:r>
      <w:hyperlink w:anchor="ref-jin2024longrag">
        <w:r>
          <w:rPr>
            <w:rStyle w:val="Hyperlink"/>
          </w:rPr>
          <w:t xml:space="preserve">Jin et al. 2024</w:t>
        </w:r>
      </w:hyperlink>
      <w:r>
        <w:t xml:space="preserve">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</w:t>
      </w:r>
      <w:hyperlink w:anchor="ref-levy2025moredocs">
        <w:r>
          <w:rPr>
            <w:rStyle w:val="Hyperlink"/>
          </w:rPr>
          <w:t xml:space="preserve">Levy et al. 2025</w:t>
        </w:r>
      </w:hyperlink>
      <w:r>
        <w:t xml:space="preserve">)</w:t>
      </w:r>
      <w:r>
        <w:t xml:space="preserve">; added length alone hurts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</w:t>
      </w:r>
      <w:hyperlink w:anchor="ref-hong2025contextrot">
        <w:r>
          <w:rPr>
            <w:rStyle w:val="Hyperlink"/>
          </w:rPr>
          <w:t xml:space="preserve">Hong et al. 2025</w:t>
        </w:r>
      </w:hyperlink>
      <w:r>
        <w:t xml:space="preserve">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</w:t>
      </w:r>
      <w:hyperlink w:anchor="ref-longcontextdegrade2026">
        <w:r>
          <w:rPr>
            <w:rStyle w:val="Hyperlink"/>
          </w:rPr>
          <w:t xml:space="preserve">Liu 2026</w:t>
        </w:r>
      </w:hyperlink>
      <w:r>
        <w:t xml:space="preserve">)</w:t>
      </w:r>
      <w:r>
        <w:t xml:space="preserve">. We do not claim to discover this genus. Our</w:t>
      </w:r>
      <w:r>
        <w:t xml:space="preserve"> </w:t>
      </w:r>
      <w:r>
        <w:t xml:space="preserve">anti-monotonicity finding contributes its order-theoretic form: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</w:t>
      </w:r>
      <w:r>
        <w:t xml:space="preserve"> </w:t>
      </w:r>
      <w:r>
        <w:t xml:space="preserve">sufficient source, on sources separately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interference certificate with position, length, and routing controls; the</w:t>
      </w:r>
      <w:r>
        <w:t xml:space="preserve"> </w:t>
      </w:r>
      <w:r>
        <w:t xml:space="preserve">algebraic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one no monotone-submodular context-value scalar can carry.</w:t>
      </w:r>
      <w:r>
        <w:t xml:space="preserve"> </w:t>
      </w:r>
      <w:r>
        <w:t xml:space="preserve">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</w:t>
      </w:r>
      <w:hyperlink w:anchor="ref-paretoprompts2025">
        <w:r>
          <w:rPr>
            <w:rStyle w:val="Hyperlink"/>
          </w:rPr>
          <w:t xml:space="preserve">Zhao et al. 2025</w:t>
        </w:r>
      </w:hyperlink>
      <w:r>
        <w:t xml:space="preserve">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20"/>
    <w:bookmarkStart w:id="23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21" w:name="sec:related-llmrep"/>
      <w:bookmarkEnd w:id="21"/>
      <w:bookmarkStart w:id="22" w:name="sec:related-foundations"/>
      <w:bookmarkEnd w:id="22"/>
    </w:p>
    <w:p>
      <w:pPr>
        <w:pStyle w:val="BodyText"/>
      </w:pPr>
      <w:r>
        <w:t xml:space="preserve">The Blackwell–Le Cam apparatus has entered machine learning, but never for inference-time</w:t>
      </w:r>
      <w:r>
        <w:t xml:space="preserve"> </w:t>
      </w:r>
      <w:r>
        <w:t xml:space="preserve">context. Closest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</w:t>
      </w:r>
      <w:hyperlink w:anchor="ref-zheng2024pmi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rank datasets by</w:t>
      </w:r>
      <w:r>
        <w:t xml:space="preserve"> </w:t>
      </w:r>
      <w:r>
        <w:t xml:space="preserve">Blackwell informativeness and show a pointwise-mutual-information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is faithful in</w:t>
      </w:r>
      <w:r>
        <w:t xml:space="preserve"> </w:t>
      </w:r>
      <w:r>
        <w:t xml:space="preserve">their Bayes-optimal, white-box regime, an instructive contrast with ours, where the order is</w:t>
      </w:r>
      <w:r>
        <w:t xml:space="preserve"> </w:t>
      </w:r>
      <w:r>
        <w:t xml:space="preserve">genuinely partial for a fixed rule and no query-independent scalar can be faithful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); they provide no incomparability statement or finite-sample</w:t>
      </w:r>
      <w:r>
        <w:t xml:space="preserve"> </w:t>
      </w:r>
      <w:r>
        <w:t xml:space="preserve">certificate. Garbling has been used to harden LLM evaluations </w:t>
      </w:r>
      <w:r>
        <w:t xml:space="preserve">(</w:t>
      </w:r>
      <w:hyperlink w:anchor="ref-bradley2024garbling">
        <w:r>
          <w:rPr>
            <w:rStyle w:val="Hyperlink"/>
          </w:rPr>
          <w:t xml:space="preserve">Bradley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</w:t>
      </w:r>
      <w:hyperlink w:anchor="ref-fosse2025">
        <w:r>
          <w:rPr>
            <w:rStyle w:val="Hyperlink"/>
          </w:rPr>
          <w:t xml:space="preserve">Fosse et al. 2025</w:t>
        </w:r>
      </w:hyperlink>
      <w:r>
        <w:t xml:space="preserve">)</w:t>
      </w:r>
      <w:r>
        <w:t xml:space="preserve">;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appears in transfer learning, without an incomparability statement,</w:t>
      </w:r>
      <w:r>
        <w:t xml:space="preserve"> </w:t>
      </w:r>
      <w:r>
        <w:t xml:space="preserve">formal partial order, or distribution-free certificate, and outside language</w:t>
      </w:r>
      <w:r>
        <w:t xml:space="preserve"> </w:t>
      </w:r>
      <w:r>
        <w:t xml:space="preserve">modeling </w:t>
      </w:r>
      <w:r>
        <w:t xml:space="preserve">(</w:t>
      </w:r>
      <w:hyperlink w:anchor="ref-akdemir2025">
        <w:r>
          <w:rPr>
            <w:rStyle w:val="Hyperlink"/>
          </w:rPr>
          <w:t xml:space="preserve">Akdemir 2025</w:t>
        </w:r>
      </w:hyperlink>
      <w:r>
        <w:t xml:space="preserve">)</w:t>
      </w:r>
      <w:r>
        <w:t xml:space="preserve">; and comparison-of-experiments ideas touch loss</w:t>
      </w:r>
      <w:r>
        <w:t xml:space="preserve"> </w:t>
      </w:r>
      <w:r>
        <w:t xml:space="preserve">design </w:t>
      </w:r>
      <w:r>
        <w:t xml:space="preserve">(</w:t>
      </w:r>
      <w:hyperlink w:anchor="ref-vanrooyen2014">
        <w:r>
          <w:rPr>
            <w:rStyle w:val="Hyperlink"/>
          </w:rPr>
          <w:t xml:space="preserve">Rooyen and Williamson 2014</w:t>
        </w:r>
      </w:hyperlink>
      <w:r>
        <w:t xml:space="preserve">)</w:t>
      </w:r>
      <w:r>
        <w:t xml:space="preserve">. Blackwell’s theorems have been surveyed for</w:t>
      </w:r>
      <w:r>
        <w:t xml:space="preserve"> </w:t>
      </w:r>
      <w:r>
        <w:t xml:space="preserve">AI </w:t>
      </w:r>
      <w:r>
        <w:t xml:space="preserve">(</w:t>
      </w:r>
      <w:hyperlink w:anchor="ref-blackwellrep2026">
        <w:r>
          <w:rPr>
            <w:rStyle w:val="Hyperlink"/>
          </w:rPr>
          <w:t xml:space="preserve">Paxton 2026</w:t>
        </w:r>
      </w:hyperlink>
      <w:r>
        <w:t xml:space="preserve">)</w:t>
      </w:r>
      <w:r>
        <w:t xml:space="preserve">, but to our knowledge no prior work states a Blackwell partial order</w:t>
      </w:r>
      <w:r>
        <w:t xml:space="preserve"> </w:t>
      </w:r>
      <w:r>
        <w:t xml:space="preserve">over context sources, derives the no-scalar-ranks consequence for language models, or supplies a</w:t>
      </w:r>
      <w:r>
        <w:t xml:space="preserve"> </w:t>
      </w:r>
      <w:r>
        <w:t xml:space="preserve">certified decision-restricted estimator. The mathematics we rely on is classical: the</w:t>
      </w:r>
      <w:r>
        <w:t xml:space="preserve"> </w:t>
      </w:r>
      <w:r>
        <w:t xml:space="preserve">Blackwell–Sherman–Stein equivalence and deficiency are due to Blackwell and</w:t>
      </w:r>
      <w:r>
        <w:t xml:space="preserve"> </w:t>
      </w:r>
      <w:r>
        <w:t xml:space="preserve">Le Cam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with Torgersen’s monograph as the canonical</w:t>
      </w:r>
      <w:r>
        <w:t xml:space="preserve"> </w:t>
      </w:r>
      <w:r>
        <w:t xml:space="preserve">reference, and the fact that the order is a non-lattice partial order with genuinely incomparable</w:t>
      </w:r>
      <w:r>
        <w:t xml:space="preserve"> </w:t>
      </w:r>
      <w:r>
        <w:t xml:space="preserve">pairs is classical as well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is,</w:t>
      </w:r>
      <w:r>
        <w:t xml:space="preserve"> </w:t>
      </w:r>
      <w:r>
        <w:t xml:space="preserve">mathematically, a short corollary of Blackwell’s theorem applied to a constructed pair of decision</w:t>
      </w:r>
      <w:r>
        <w:t xml:space="preserve"> </w:t>
      </w:r>
      <w:r>
        <w:t xml:space="preserve">problems; we state it as an application-level result about language-model context, not as new</w:t>
      </w:r>
      <w:r>
        <w:t xml:space="preserve"> </w:t>
      </w:r>
      <w:r>
        <w:t xml:space="preserve">structure in the order. The genuinely new pieces are the framing, the surrogate, and the</w:t>
      </w:r>
      <w:r>
        <w:t xml:space="preserve"> </w:t>
      </w:r>
      <w:r>
        <w:t xml:space="preserve">certificate.</w:t>
      </w:r>
    </w:p>
    <w:bookmarkEnd w:id="23"/>
    <w:bookmarkEnd w:id="24"/>
    <w:bookmarkStart w:id="31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7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</w:t>
      </w:r>
      <w:hyperlink w:anchor="subsec:sourc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and 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5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5"/>
    <w:bookmarkStart w:id="26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Two decision rules matter: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(utility-optimal) decision rule for</w:t>
      </w:r>
      <w:r>
        <w:t xml:space="preserve"> </w:t>
      </w:r>
      <w: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 a prior over</w:t>
      </w:r>
      <w:r>
        <w:t xml:space="preserve"> </w:t>
      </w:r>
      <m:oMath>
        <m:r>
          <m:t>S</m:t>
        </m:r>
      </m:oMath>
      <w:r>
        <w:t xml:space="preserve">, achieving the optimal value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sup</m:t>
            </m:r>
          </m:e>
          <m:sub>
            <m:r>
              <m:t>δ</m:t>
            </m:r>
          </m:sub>
        </m:sSub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"/>
    <w:p>
      <w:pPr>
        <w:pStyle w:val="FirstParagraph"/>
      </w:pPr>
      <w:r>
        <w:t xml:space="preserve">The distinction in Definition </w:t>
      </w:r>
      <w:hyperlink w:anchor="def:deci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load-bearing. Blackwell’s theorem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, the</w:t>
      </w:r>
      <w:r>
        <w:t xml:space="preserve"> </w:t>
      </w:r>
      <w:r>
        <w:t xml:space="preserve">interference statistic of §</w:t>
      </w:r>
      <w:hyperlink w:anchor="subsec:interference">
        <w:r>
          <w:rPr>
            <w:rStyle w:val="Hyperlink"/>
          </w:rPr>
          <w:t xml:space="preserve">6.3</w:t>
        </w:r>
      </w:hyperlink>
      <w:r>
        <w:t xml:space="preserve">, and the entire six-model program of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).</w:t>
      </w:r>
    </w:p>
    <w:bookmarkEnd w:id="27"/>
    <w:bookmarkStart w:id="29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</w:t>
      </w:r>
      <w:hyperlink w:anchor="eq:coordinates">
        <w:r>
          <w:rPr>
            <w:rStyle w:val="Hyperlink"/>
          </w:rPr>
          <w:t xml:space="preserve">[eq:coordinates]</w:t>
        </w:r>
      </w:hyperlink>
      <w:r>
        <w:t xml:space="preserve">.</w:t>
      </w:r>
    </w:p>
    <w:bookmarkStart w:id="28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Fix a partition of coordinate indices. 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8"/>
    <w:p>
      <w:pPr>
        <w:pStyle w:val="BodyText"/>
      </w:pPr>
      <w:r>
        <w:t xml:space="preserve">Under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</w:t>
      </w:r>
      <w:r>
        <w:t xml:space="preserve"> </w:t>
      </w:r>
      <w:r>
        <w:t xml:space="preserve">“text 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29"/>
    <w:bookmarkStart w:id="30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model-relative value of a private source, the information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supplies</w:t>
      </w:r>
      <w:r>
        <w:t xml:space="preserve"> </w:t>
      </w:r>
      <w:r>
        <w:rPr>
          <w:i/>
          <w:iCs/>
        </w:rPr>
        <w:t xml:space="preserve">beyond what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already encodes</w:t>
      </w:r>
      <w:r>
        <w:t xml:space="preserve">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</w:t>
      </w:r>
      <w:r>
        <w:t xml:space="preserve"> </w:t>
      </w:r>
      <w:r>
        <w:t xml:space="preserve">(the model can guess it without the source),</w:t>
      </w:r>
      <w:r>
        <w:t xml:space="preserve"> </w:t>
      </w:r>
      <m:oMath>
        <m:r>
          <m:t>W</m:t>
        </m:r>
      </m:oMath>
      <w:r>
        <w:t xml:space="preserve">’s marginal value collapses; when the convention is</w:t>
      </w:r>
      <w:r>
        <w:t xml:space="preserve"> </w:t>
      </w:r>
      <w:r>
        <w:t xml:space="preserve">private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maximally valuable.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30"/>
    <w:bookmarkEnd w:id="31"/>
    <w:bookmarkStart w:id="43" w:name="sec:order"/>
    <w:p>
      <w:pPr>
        <w:pStyle w:val="Heading1"/>
      </w:pPr>
      <w:r>
        <w:t xml:space="preserve">The Blackwell order over context sources</w:t>
      </w:r>
    </w:p>
    <w:bookmarkStart w:id="36" w:name="the-order-and-its-two-registers"/>
    <w:p>
      <w:pPr>
        <w:pStyle w:val="Heading2"/>
      </w:pPr>
      <w:r>
        <w:t xml:space="preserve">The order and its two registers</w:t>
      </w:r>
    </w:p>
    <w:bookmarkStart w:id="32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2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3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 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 Borel signal</w:t>
      </w:r>
      <w:r>
        <w:rPr>
          <w:i/>
          <w:iCs/>
        </w:rPr>
        <w:t xml:space="preserve"> </w:t>
      </w:r>
      <w:r>
        <w:rPr>
          <w:i/>
          <w:iCs/>
        </w:rPr>
        <w:t xml:space="preserve">spaces. The following are equivalent: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blackwell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);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3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Start w:id="34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4"/>
    <w:bookmarkStart w:id="35" w:name="rem:partial"/>
    <w:p>
      <w:pPr>
        <w:pStyle w:val="BodyText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order is partial; no lattice).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 genuine partial order: there exist pairs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neither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order does not form a lattice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Incomparability is exactly the regime our experiments target.</w:t>
      </w:r>
    </w:p>
    <w:bookmarkEnd w:id="35"/>
    <w:bookmarkEnd w:id="36"/>
    <w:bookmarkStart w:id="38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7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7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the formal version of the garbling argument used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8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39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9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certificate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40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bridge).</w:t>
      </w:r>
      <w:r>
        <w:t xml:space="preserve"> 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-incomparability is strictly weaker than Blackwell incomparability and does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follow from it without a value-attainment hypothesis: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 for some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, then they</w:t>
      </w:r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</w:t>
      </w:r>
      <w:r>
        <w:rPr>
          <w:i/>
          <w:iCs/>
        </w:rPr>
        <w:t xml:space="preserve"> </w:t>
      </w:r>
      <w:r>
        <w:rPr>
          <w:i/>
          <w:iCs/>
        </w:rPr>
        <w:t xml:space="preserve">(Empirical incomparability implies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incomparability.)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</w:t>
      </w:r>
    </w:p>
    <w:bookmarkEnd w:id="40"/>
    <w:bookmarkStart w:id="41" w:name="ass:attain"/>
    <w:p>
      <w:pPr>
        <w:pStyle w:val="FirstParagraph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(Value attainment on the witnessing tasks).</w:t>
      </w:r>
      <w:r>
        <w:t xml:space="preserve"> </w:t>
      </w:r>
      <w:r>
        <w:t xml:space="preserve"> </w:t>
      </w:r>
      <w:r>
        <w:t xml:space="preserve">There exist tasks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a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</w:t>
      </w:r>
      <w:r>
        <w:t xml:space="preserve"> </w:t>
      </w:r>
      <w:r>
        <w:t xml:space="preserve">exploits each source’s private coordinate on the task that requires it. Under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keystone fix. It says the empirical program is sound in the direction</w:t>
      </w:r>
      <w:r>
        <w:t xml:space="preserve"> </w:t>
      </w:r>
      <w:r>
        <w:t xml:space="preserve">we actually need:</w:t>
      </w:r>
      <w:r>
        <w:t xml:space="preserve"> </w:t>
      </w:r>
      <w:r>
        <w:rPr>
          <w:i/>
          <w:iCs/>
        </w:rPr>
        <w:t xml:space="preserve">a certified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-incomparability (which our certificate delivers)</w:t>
      </w:r>
      <w:r>
        <w:rPr>
          <w:i/>
          <w:iCs/>
        </w:rPr>
        <w:t xml:space="preserve"> </w:t>
      </w:r>
      <w:r>
        <w:rPr>
          <w:i/>
          <w:iCs/>
        </w:rPr>
        <w:t xml:space="preserve">implies genuine Blackwell incomparability</w:t>
      </w:r>
      <w:r>
        <w:t xml:space="preserve"> </w:t>
      </w:r>
      <w:r>
        <w:t xml:space="preserve">(part (a)), so the structural claim is earned, not</w:t>
      </w:r>
      <w:r>
        <w:t xml:space="preserve"> </w:t>
      </w:r>
      <w:r>
        <w:t xml:space="preserve">assumed; and it makes explicit that the reverse implication, predicting the realized crossover</w:t>
      </w:r>
      <w:r>
        <w:t xml:space="preserve"> </w:t>
      </w:r>
      <w:r>
        <w:t xml:space="preserve">from the abstract theorem, requires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our task design enforces</w:t>
      </w:r>
      <w:r>
        <w:t xml:space="preserve"> </w:t>
      </w:r>
      <w:r>
        <w:t xml:space="preserve">(each cell is constructed so the decisive private coordinate is necessary for PASS) and our</w:t>
      </w:r>
      <w:r>
        <w:t xml:space="preserve"> </w:t>
      </w:r>
      <w:r>
        <w:t xml:space="preserve">measurements verify.</w:t>
      </w:r>
    </w:p>
    <w:bookmarkEnd w:id="42"/>
    <w:bookmarkEnd w:id="43"/>
    <w:bookmarkStart w:id="51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We now establish that no scalar can rank Blackwell-incomparable sources.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C2).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; and,</w:t>
      </w:r>
      <w:r>
        <w:rPr>
          <w:i/>
          <w:iCs/>
        </w:rPr>
        <w:t xml:space="preserve"> </w:t>
      </w:r>
      <w:r>
        <w:rPr>
          <w:i/>
          <w:iCs/>
        </w:rPr>
        <w:t xml:space="preserve">under 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with the 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 them.</w:t>
      </w:r>
    </w:p>
    <w:bookmarkEnd w:id="44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Start w:id="45" w:name="rem:c2scope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 The theorem is</w:t>
      </w:r>
      <w:r>
        <w:t xml:space="preserve"> </w:t>
      </w:r>
      <w:r>
        <w:t xml:space="preserve">mathematically a one-line consequence of Blackwell’s theorem; the contribution is the</w:t>
      </w:r>
      <w:r>
        <w:t xml:space="preserve"> </w:t>
      </w:r>
      <w:r>
        <w:rPr>
          <w:i/>
          <w:iCs/>
        </w:rPr>
        <w:t xml:space="preserve">application and framing</w:t>
      </w:r>
      <w:r>
        <w:t xml:space="preserve">, reading cross-task non-transfer of relevance as the signature of a</w:t>
      </w:r>
      <w:r>
        <w:t xml:space="preserve"> </w:t>
      </w:r>
      <w:r>
        <w:t xml:space="preserve">partial order, not new core mathematics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</w:t>
      </w:r>
      <w:hyperlink w:anchor="ref-ethayarajh2022">
        <w:r>
          <w:rPr>
            <w:rStyle w:val="Hyperlink"/>
            <w:i/>
            <w:iCs/>
          </w:rPr>
          <w:t xml:space="preserve">2022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 as the reduction in expected predictive Bayes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post-composition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Start w:id="47" w:name="rem:vinfo-scope"/>
    <w:p>
      <w:pPr>
        <w:pStyle w:val="BodyText"/>
      </w:pPr>
      <w:r>
        <w:rPr>
          <w:i/>
          <w:iCs/>
        </w:rPr>
        <w:t xml:space="preserve">Remark 3</w:t>
      </w:r>
      <w:r>
        <w:t xml:space="preserve"> </w:t>
      </w:r>
      <w:r>
        <w:t xml:space="preserve">(Scope of 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 </w:t>
      </w:r>
      <w:r>
        <w:t xml:space="preserve">The closure hypothesis (a family closed under post-composition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and conjecture, rather than</w:t>
      </w:r>
      <w:r>
        <w:t xml:space="preserve"> </w:t>
      </w:r>
      <w:r>
        <w:t xml:space="preserve">prove, the analogue for mutual information, perplexity-gap, and fixed-prior EIG, each of which is</w:t>
      </w:r>
      <w:r>
        <w:t xml:space="preserve"> </w:t>
      </w:r>
      <w:r>
        <w:t xml:space="preserve">a data-processing-monotone functional of the same kernels.</w:t>
      </w:r>
    </w:p>
    <w:bookmarkEnd w:id="47"/>
    <w:bookmarkEnd w:id="48"/>
    <w:bookmarkStart w:id="50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measurable with respect to a fixed feature map of the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 it depends on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,</m:t>
        </m:r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only through surface lexical overlap and is invariant to the</w:t>
      </w:r>
      <w:r>
        <w:rPr>
          <w:i/>
          <w:iCs/>
        </w:rPr>
        <w:t xml:space="preserve"> </w:t>
      </w:r>
      <w:r>
        <w:rPr>
          <w:i/>
          <w:iCs/>
        </w:rPr>
        <w:t xml:space="preserve">private coordinate</w:t>
      </w:r>
      <w:r>
        <w:rPr>
          <w:i/>
          <w:iCs/>
        </w:rP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the verifier checks. If there is a task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whose surface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vocabulary,</w:t>
      </w:r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while the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Hence no topical query-conditioned score 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topical invariance,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ignores the verifier-decisive coordinate and orders by</w:t>
      </w:r>
      <w:r>
        <w:t xml:space="preserve"> </w:t>
      </w:r>
      <w:r>
        <w:t xml:space="preserve">lexical overlap, which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by construction;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</w:t>
      </w:r>
      <w:r>
        <w:t xml:space="preserve"> </w:t>
      </w:r>
      <w:r>
        <w:t xml:space="preserve">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coordinate. The two orders disagree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. ◻</w:t>
      </w:r>
    </w:p>
    <w:p>
      <w:pPr>
        <w:pStyle w:val="BodyText"/>
      </w:pP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strongest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statement we can make about</w:t>
      </w:r>
      <w:r>
        <w:t xml:space="preserve"> </w:t>
      </w:r>
      <w:r>
        <w:t xml:space="preserve">query-conditioned scores: it holds for any score in the topical (lexical-feature) class, but not for</w:t>
      </w:r>
      <w:r>
        <w:t xml:space="preserve"> </w:t>
      </w:r>
      <w:r>
        <w:t xml:space="preserve">an arbitrary learned reranker that could, in principle, read the private coordinate. We therefore</w:t>
      </w:r>
      <w:r>
        <w:t xml:space="preserve"> </w:t>
      </w:r>
      <w:r>
        <w:t xml:space="preserve">treat the defeat of 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</w:t>
      </w:r>
      <w:r>
        <w:t xml:space="preserve"> </w:t>
      </w:r>
      <w:r>
        <w:t xml:space="preserve">concrete lexical-cosine score practitioners use.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all six models. The same mis-rank is realized by production-family learned</w:t>
      </w:r>
      <w:r>
        <w:t xml:space="preserve"> </w:t>
      </w:r>
      <w:r>
        <w:t xml:space="preserve">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), so the topical class is not a lexical</w:t>
      </w:r>
      <w:r>
        <w:t xml:space="preserve"> </w:t>
      </w:r>
      <w:r>
        <w:t xml:space="preserve">strawman, it contains the ranker families retrieval systems actually deploy.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predicts, its hypothesis is topicality</w:t>
      </w:r>
      <w:r>
        <w:t xml:space="preserve"> </w:t>
      </w:r>
      <w:r>
        <w:t xml:space="preserve">(invariance to the verifier-decisive coordinate), and a ranker that reads the coordinate is simply</w:t>
      </w:r>
      <w:r>
        <w:t xml:space="preserve"> </w:t>
      </w:r>
      <w:r>
        <w:t xml:space="preserve">outside the impossibility class.</w:t>
      </w:r>
    </w:p>
    <w:bookmarkEnd w:id="50"/>
    <w:bookmarkEnd w:id="51"/>
    <w:bookmarkStart w:id="63" w:name="sec:estimator"/>
    <w:p>
      <w:pPr>
        <w:pStyle w:val="Heading1"/>
      </w:pPr>
      <w:r>
        <w:t xml:space="preserve">The decision-restricted deficiency surrogate and its uniform certificate</w:t>
      </w:r>
    </w:p>
    <w:bookmarkStart w:id="53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are uncomputable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partial, so we measure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(a one-sided</w:t>
      </w:r>
      <w:r>
        <w:t xml:space="preserve"> </w:t>
      </w:r>
      <w:r>
        <w:t xml:space="preserve">worst-case regret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2" w:name="rem:notlecam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quantity in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, the measurable shadow of Corollary </w:t>
      </w:r>
      <w:hyperlink w:anchor="cor:c1">
        <w:r>
          <w:rPr>
            <w:rStyle w:val="Hyperlink"/>
          </w:rPr>
          <w:t xml:space="preserve">1</w:t>
        </w:r>
      </w:hyperlink>
      <w:r>
        <w:t xml:space="preserve">.</w:t>
      </w:r>
    </w:p>
    <w:bookmarkEnd w:id="52"/>
    <w:bookmarkEnd w:id="53"/>
    <w:bookmarkStart w:id="56" w:name="subsec:certificate"/>
    <w:p>
      <w:pPr>
        <w:pStyle w:val="Heading2"/>
      </w:pPr>
      <w:r>
        <w:t xml:space="preserve">The uniform certificate</w:t>
      </w:r>
    </w:p>
    <w:p>
      <w:pPr>
        <w:pStyle w:val="FirstParagraph"/>
      </w:pPr>
      <w:r>
        <w:t xml:space="preserve">The surrogate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4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</w:t>
      </w:r>
      <w:hyperlink w:anchor="ass:iid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</w:t>
      </w:r>
      <w:hyperlink w:anchor="ref-clopperpearson1934">
        <w:r>
          <w:rPr>
            <w:rStyle w:val="Hyperlink"/>
            <w:i/>
            <w:iCs/>
          </w:rPr>
          <w:t xml:space="preserve">Clopper and Pearson 1934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</w:t>
      </w:r>
      <w:hyperlink w:anchor="ref-bonferroni1936">
        <w:r>
          <w:rPr>
            <w:rStyle w:val="Hyperlink"/>
            <w:i/>
            <w:iCs/>
          </w:rPr>
          <w:t xml:space="preserve">Bonferroni 1936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certifies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intervals, so the</w:t>
      </w:r>
      <w:r>
        <w:rPr>
          <w:i/>
          <w:iCs/>
        </w:rPr>
        <w:t xml:space="preserve"> </w:t>
      </w:r>
      <w:r>
        <w:rPr>
          <w:i/>
          <w:iCs/>
        </w:rPr>
        <w:t xml:space="preserve">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 additional correction.</w:t>
      </w:r>
    </w:p>
    <w:bookmarkEnd w:id="54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A naive single-sample DKW bound under-covers this supremum because the object is a maximum of differences of binomial means across distinct cells and the certificate selects the argmax-gap cell; the multiplicity must be paid explicitly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</w:p>
    <w:p>
      <w:pPr>
        <w:pStyle w:val="BodyText"/>
      </w:pPr>
      <w:r>
        <w:t xml:space="preserve">The construction aligns with recent statistical guidance for black-box LLM evaluation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55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This holds when</w:t>
      </w:r>
      <w:r>
        <w:t xml:space="preserve"> </w:t>
      </w:r>
      <w:r>
        <w:t xml:space="preserve">completions are sampled independently at fixed temperature/top-</w:t>
      </w:r>
      <m:oMath>
        <m:r>
          <m:t>p</m:t>
        </m:r>
      </m:oMath>
      <w:r>
        <w:t xml:space="preserve"> </w:t>
      </w:r>
      <w:r>
        <w:t xml:space="preserve">with independent randomness per</w:t>
      </w:r>
      <w:r>
        <w:t xml:space="preserve"> </w:t>
      </w:r>
      <w:r>
        <w:t xml:space="preserve">draw; for the single-shot arms (one completion + deterministic code extraction per draw) the draws</w:t>
      </w:r>
      <w:r>
        <w:t xml:space="preserve"> </w:t>
      </w:r>
      <w:r>
        <w:t xml:space="preserve">are manifestly independent. For the agentic arms (</w:t>
      </w:r>
      <w:r>
        <w:rPr>
          <w:rStyle w:val="VerbatimChar"/>
        </w:rPr>
        <w:t xml:space="preserve">claude -p</w:t>
      </w:r>
      <w:r>
        <w:t xml:space="preserve">, multi-turn) independence is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trajectories</w:t>
      </w:r>
      <w:r>
        <w:t xml:space="preserve">: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 fresh trajectory with no shared state, so the</w:t>
      </w:r>
      <w:r>
        <w:t xml:space="preserve"> </w:t>
      </w:r>
      <w:r>
        <w:t xml:space="preserve">binomial model applies to the trajectory-level PASS outcome; we report decoding configuration and</w:t>
      </w:r>
      <w:r>
        <w:t xml:space="preserve"> </w:t>
      </w:r>
      <w:r>
        <w:t xml:space="preserve">defend this independence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certificate is conservative.</w:t>
      </w:r>
    </w:p>
    <w:bookmarkEnd w:id="55"/>
    <w:bookmarkEnd w:id="56"/>
    <w:bookmarkStart w:id="59" w:name="subsec:interference"/>
    <w:p>
      <w:pPr>
        <w:pStyle w:val="Heading2"/>
      </w:pPr>
      <w:r>
        <w:t xml:space="preserve">The interference certificate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</w:t>
      </w:r>
      <w:r>
        <w:t xml:space="preserve"> </w:t>
      </w:r>
      <w:r>
        <w:t xml:space="preserve">strictly-more-informative context hurts.”</w:t>
      </w:r>
    </w:p>
    <w:bookmarkStart w:id="57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unblinding. With per-cell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the four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Ψ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certifies harmful non-monotonicity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</w:t>
      </w:r>
      <w:r>
        <w:rPr>
          <w:i/>
          <w:iCs/>
        </w:rPr>
        <w:t xml:space="preserve"> </w:t>
      </w:r>
      <w:r>
        <w:rPr>
          <w:i/>
          <w:iCs/>
        </w:rPr>
        <w:t xml:space="preserve">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certificate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(Remark </w:t>
      </w:r>
      <w:hyperlink w:anchor="rem:dkw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), and omitting it would repeat the multiplicity error we criticize.</w:t>
      </w:r>
    </w:p>
    <w:bookmarkEnd w:id="57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Start w:id="58" w:name="rem:leaky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(The leaky-baseline limitation, stated as a protocol).</w:t>
      </w:r>
      <w:r>
        <w:t xml:space="preserve"> </w:t>
      </w:r>
      <w:r>
        <w:t xml:space="preserve"> </w:t>
      </w:r>
      <w:r>
        <w:t xml:space="preserve">The upper bound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-baseline floors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convention is</w:t>
      </w:r>
      <w:r>
        <w:t xml:space="preserve"> </w:t>
      </w:r>
      <w:r>
        <w:t xml:space="preserve">unguessable for the model under test). When the baseline is non-zero, e.g. 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for GPT-5.5,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for Kimi,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Opus, the bound is mechanically</w:t>
      </w:r>
      <w:r>
        <w:t xml:space="preserve"> </w:t>
      </w:r>
      <w:r>
        <w:t xml:space="preserve">slack and harm is not certifiable even when the point estimate is strongly negative. We therefore</w:t>
      </w:r>
      <w:r>
        <w:t xml:space="preserve"> </w:t>
      </w:r>
      <w:r>
        <w:t xml:space="preserve">adopt the explicit protocol:</w:t>
      </w:r>
      <w:r>
        <w:t xml:space="preserve"> </w:t>
      </w:r>
      <w:r>
        <w:rPr>
          <w:i/>
          <w:iCs/>
        </w:rPr>
        <w:t xml:space="preserve">certify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on cells whose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-baseline</w:t>
      </w:r>
      <w:r>
        <w:rPr>
          <w:i/>
          <w:iCs/>
        </w:rPr>
        <w:t xml:space="preserve"> </w:t>
      </w:r>
      <w:r>
        <w:rPr>
          <w:i/>
          <w:iCs/>
        </w:rPr>
        <w:t xml:space="preserve">floors near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the model under test</w:t>
      </w:r>
      <w:r>
        <w:t xml:space="preserve">, and report, per model, which cell carried the certificate</w:t>
      </w:r>
      <w:r>
        <w:t xml:space="preserve"> </w:t>
      </w:r>
      <w:r>
        <w:t xml:space="preserve">and what its baseline was. This makes the cell selection a stated rule rather than an outcome-driven</w:t>
      </w:r>
      <w:r>
        <w:t xml:space="preserve"> </w:t>
      </w:r>
      <w:r>
        <w:t xml:space="preserve">choice. The same model-relative guessability that defines the value of private context</w:t>
      </w:r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 thus governs which cells can carry the interference certificate.</w:t>
      </w:r>
    </w:p>
    <w:bookmarkEnd w:id="58"/>
    <w:bookmarkEnd w:id="59"/>
    <w:bookmarkStart w:id="61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) and the realized rule diverge.</w:t>
      </w:r>
    </w:p>
    <w:bookmarkStart w:id="60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</w:t>
      </w:r>
      <w:hyperlink w:anchor="lem:noref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</w:t>
      </w:r>
      <w:r>
        <w:rPr>
          <w:i/>
          <w:iCs/>
        </w:rPr>
        <w:t xml:space="preserve"> </w:t>
      </w:r>
      <w:r>
        <w:rPr>
          <w:i/>
          <w:iCs/>
        </w:rPr>
        <w:t xml:space="preserve">rule, one whose value is monotone under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as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by Theorem </w:t>
      </w:r>
      <w:hyperlink w:anchor="thm:blackwell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satisfies</w:t>
      </w:r>
      <w:r>
        <w:rPr>
          <w:i/>
          <w:iCs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monotone-submodular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0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Blackwell-coherent, which is precisely</w:t>
      </w:r>
      <w:r>
        <w:t xml:space="preserve"> </w:t>
      </w:r>
      <w:r>
        <w:t xml:space="preserve">the gap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(b) warned cannot be closed without value attainment.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1"/>
    <w:bookmarkStart w:id="62" w:name="subsec:fwer"/>
    <w:p>
      <w:pPr>
        <w:pStyle w:val="Heading2"/>
      </w:pPr>
      <w:r>
        <w:t xml:space="preserve">Family-wise error across the certified claims</w:t>
      </w:r>
    </w:p>
    <w:p>
      <w:pPr>
        <w:pStyle w:val="FirstParagraph"/>
      </w:pPr>
      <w:r>
        <w:t xml:space="preserve">Each certificate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interference via</w:t>
      </w:r>
      <w:r>
        <w:t xml:space="preserve"> </w:t>
      </w:r>
      <w:r>
        <w:t xml:space="preserve">Proposition </w:t>
      </w:r>
      <w:hyperlink w:anchor="prop:interference">
        <w:r>
          <w:rPr>
            <w:rStyle w:val="Hyperlink"/>
          </w:rPr>
          <w:t xml:space="preserve">4</w:t>
        </w:r>
      </w:hyperlink>
      <w:r>
        <w:t xml:space="preserve">). When several claims are read off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n</m:t>
        </m:r>
      </m:oMath>
      <w:r>
        <w:t xml:space="preserve">-sample</w:t>
      </w:r>
      <w:r>
        <w:t xml:space="preserve"> </w:t>
      </w:r>
      <w:r>
        <w:t xml:space="preserve">run at the same</w:t>
      </w:r>
      <w:r>
        <w:t xml:space="preserve"> </w:t>
      </w:r>
      <m:oMath>
        <m:r>
          <m:t>η</m:t>
        </m:r>
      </m:oMath>
      <w:r>
        <w:t xml:space="preserve">, incomparability (both directions, on one shared event</w:t>
      </w:r>
      <w:r>
        <w:t xml:space="preserve"> </w:t>
      </w:r>
      <m:oMath>
        <m:r>
          <m:t>E</m:t>
        </m:r>
      </m:oMath>
      <w:r>
        <w:t xml:space="preserve">), one-directional</w:t>
      </w:r>
      <w:r>
        <w:t xml:space="preserve"> </w:t>
      </w:r>
      <w:r>
        <w:t xml:space="preserve">dominance, and the interference cells, the conjunction over distinct claims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jointly</w:t>
      </w:r>
      <w:r>
        <w:t xml:space="preserve"> </w:t>
      </w:r>
      <w:r>
        <w:t xml:space="preserve">controlled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unless the budget is split across claims. We state results as marginally</w:t>
      </w:r>
      <w:r>
        <w:t xml:space="preserve"> </w:t>
      </w:r>
      <w:r>
        <w:t xml:space="preserve">certified per claim and, where a joint statement is wanted,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certified</w:t>
      </w:r>
      <w:r>
        <w:t xml:space="preserve"> </w:t>
      </w:r>
      <w:r>
        <w:t xml:space="preserve">claims (e.g. </w:t>
      </w:r>
      <m:oMath>
        <m:r>
          <m:t>η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each) so the global family-wise error is</w:t>
      </w:r>
      <w:r>
        <w:t xml:space="preserve"> </w:t>
      </w:r>
      <m:oMath>
        <m:r>
          <m:rPr>
            <m:sty m:val="p"/>
          </m:rPr>
          <m:t>≤</m:t>
        </m:r>
        <m:r>
          <m:t>η</m:t>
        </m:r>
      </m:oMath>
      <w:r>
        <w:t xml:space="preserve">. The incomparability pair</w:t>
      </w:r>
      <w:r>
        <w:t xml:space="preserve"> </w:t>
      </w:r>
      <w:r>
        <w:t xml:space="preserve">is the one exception that is genuinely joint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a single event, as proved in</w:t>
      </w:r>
      <w:r>
        <w:t xml:space="preserve"> </w:t>
      </w:r>
      <w:r>
        <w:t xml:space="preserve">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all other cross-claim conjunctions on a shared run are reported</w:t>
      </w:r>
      <w:r>
        <w:t xml:space="preserve"> </w:t>
      </w:r>
      <w:r>
        <w:t xml:space="preserve">as marginal.</w:t>
      </w:r>
    </w:p>
    <w:p>
      <w:pPr>
        <w:pStyle w:val="BodyText"/>
      </w:pPr>
      <w:r>
        <w:t xml:space="preserve">The two certificates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 consolidated record marks Opus incomparability as certified and Opus interference as reproduced but not certified; the power analysis is in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End w:id="62"/>
    <w:bookmarkEnd w:id="63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We instantiate the theory of §§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–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on real language models. The</w:t>
      </w:r>
      <w:r>
        <w:t xml:space="preserve"> </w:t>
      </w:r>
      <w:r>
        <w:t xml:space="preserve">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</w:t>
      </w:r>
      <w:hyperlink w:anchor="sec:design">
        <w:r>
          <w:rPr>
            <w:rStyle w:val="Hyperlink"/>
          </w:rPr>
          <w:t xml:space="preserve">7.1</w:t>
        </w:r>
      </w:hyperlink>
      <w:r>
        <w:t xml:space="preserve">), so the incomparability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has a</w:t>
      </w:r>
      <w:r>
        <w:t xml:space="preserve"> </w:t>
      </w:r>
      <w:r>
        <w:t xml:space="preserve">non-vacuous instance to bite on. Third, every certified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</w:t>
      </w:r>
      <w:hyperlink w:anchor="sec:results">
        <w:r>
          <w:rPr>
            <w:rStyle w:val="Hyperlink"/>
          </w:rPr>
          <w:t xml:space="preserve">7.4</w:t>
        </w:r>
      </w:hyperlink>
      <w:r>
        <w:t xml:space="preserve">), so the certificate is auditable rather than asserted.</w:t>
      </w:r>
    </w:p>
    <w:bookmarkStart w:id="66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​</m:t>
        </m:r>
        <m:r>
          <m:t>​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string superset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it 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 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​</m:t>
        </m:r>
        <m:r>
          <m:t>​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4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A garbling acts on the</w:t>
      </w:r>
      <w:r>
        <w:t xml:space="preserve"> </w:t>
      </w:r>
      <w:r>
        <w:rPr>
          <w:i/>
          <w:iCs/>
        </w:rPr>
        <w:t xml:space="preserve">signal alone</w:t>
      </w:r>
      <w:r>
        <w:t xml:space="preserve">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one cannot manufacture the</w:t>
      </w:r>
      <w:r>
        <w:t xml:space="preserve"> </w:t>
      </w:r>
      <w:r>
        <w:t xml:space="preserve">private argument order, the required keyword-only</w:t>
      </w:r>
      <w:r>
        <w:t xml:space="preserve"> </w:t>
      </w:r>
      <w:r>
        <w:rPr>
          <w:rStyle w:val="VerbatimChar"/>
        </w:rPr>
        <w:t xml:space="preserve">memo</w:t>
      </w:r>
      <w:r>
        <w:t xml:space="preserve">, or the exception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</w:t>
      </w:r>
      <w:r>
        <w:t xml:space="preserve"> </w:t>
      </w:r>
      <w:r>
        <w:t xml:space="preserve">contract one cannot manufacture the cents scale,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the mod-10 check. The</w:t>
      </w:r>
      <w:r>
        <w:t xml:space="preserve"> </w:t>
      </w:r>
      <w:r>
        <w:t xml:space="preserve">two facts are logically independent coordinates of the latent requirement</w:t>
      </w:r>
      <w:r>
        <w:t xml:space="preserve"> </w:t>
      </w:r>
      <m:oMath>
        <m:r>
          <m:t>S</m:t>
        </m:r>
      </m:oMath>
      <w:r>
        <w:t xml:space="preserve">, so neither signal’s</w:t>
      </w:r>
      <w:r>
        <w:t xml:space="preserve"> </w:t>
      </w:r>
      <m:oMath>
        <m:r>
          <m:t>σ</m:t>
        </m:r>
      </m:oMath>
      <w:r>
        <w:t xml:space="preserve">-algebra refines the other’s, neither sufficiency direction holds,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Blackwell-incomparable. This is the concrete instance of the coordinate/projection construction of</w:t>
      </w:r>
      <w:r>
        <w:t xml:space="preserve"> </w:t>
      </w:r>
      <w:r>
        <w:t xml:space="preserve">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deterministic experiments observing distinct,</w:t>
      </w:r>
      <w:r>
        <w:t xml:space="preserve"> </w:t>
      </w:r>
      <w:r>
        <w:t xml:space="preserve">mutually non-refining projections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64"/>
    <w:bookmarkStart w:id="65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experiment’s signature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 </w:t>
      </w:r>
      <w:r>
        <w:t xml:space="preserve">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</w:t>
      </w:r>
      <w:r>
        <w:t xml:space="preserve"> </w:t>
      </w:r>
      <w:r>
        <w:t xml:space="preserve">convention 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lifts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lifts</w:t>
      </w:r>
      <w:r>
        <w:t xml:space="preserve"> </w:t>
      </w:r>
      <w:r>
        <w:t xml:space="preserve">the 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the encoding family were merely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not lift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lift its own family from the same floor. Matched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baselines that floor near zero on both families therefore establish equal intrinsic</w:t>
      </w:r>
      <w:r>
        <w:t xml:space="preserve"> </w:t>
      </w:r>
      <w:r>
        <w:t xml:space="preserve">hardness, so any divergence is attributable to the matching private fact, not to a difficulty</w:t>
      </w:r>
      <w:r>
        <w:t xml:space="preserve"> </w:t>
      </w:r>
      <w:r>
        <w:t xml:space="preserve">asymmetry.</w:t>
      </w:r>
    </w:p>
    <w:bookmarkEnd w:id="65"/>
    <w:bookmarkEnd w:id="66"/>
    <w:bookmarkStart w:id="69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7" w:name="certified-battery."/>
    <w:p>
      <w:pPr>
        <w:pStyle w:val="Heading4"/>
      </w:pPr>
      <w:r>
        <w:t xml:space="preserve">Certified battery.</w:t>
      </w:r>
    </w:p>
    <w:p>
      <w:pPr>
        <w:pStyle w:val="FirstParagraph"/>
      </w:pPr>
      <w:r>
        <w:t xml:space="preserve">The certified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certified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).</w:t>
      </w:r>
    </w:p>
    <w:bookmarkEnd w:id="67"/>
    <w:bookmarkStart w:id="68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the confound-proof form of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while the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is the general</w:t>
      </w:r>
      <w:r>
        <w:t xml:space="preserve"> </w:t>
      </w:r>
      <w:r>
        <w:t xml:space="preserve">claim for query-independent scalars.</w:t>
      </w:r>
    </w:p>
    <w:bookmarkEnd w:id="68"/>
    <w:bookmarkEnd w:id="69"/>
    <w:bookmarkStart w:id="77" w:name="sec:methodology"/>
    <w:p>
      <w:pPr>
        <w:pStyle w:val="Heading2"/>
      </w:pPr>
      <w:r>
        <w:t xml:space="preserve">Methodology</w:t>
      </w:r>
    </w:p>
    <w:bookmarkStart w:id="70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</w:t>
      </w:r>
    </w:p>
    <w:bookmarkEnd w:id="70"/>
    <w:bookmarkStart w:id="72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tokenbench/measure_blackwell.py</w:t>
      </w:r>
      <w:r>
        <w:t xml:space="preserve">; released with all run logs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certificate, the interference certificate,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added for the order-control run.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2"/>
    <w:bookmarkStart w:id="73" w:name="X088ab3dfb76e2fd87965c3e31d8fce35589cd84"/>
    <w:p>
      <w:pPr>
        <w:pStyle w:val="Heading4"/>
      </w:pPr>
      <w:r>
        <w:t xml:space="preserve">Agentic vs. single-shot harness (a stated confound).</w:t>
      </w:r>
    </w:p>
    <w:p>
      <w:pPr>
        <w:pStyle w:val="FirstParagraph"/>
      </w:pPr>
      <w:r>
        <w:t xml:space="preserve">The Anthropic models run</w:t>
      </w:r>
      <w:r>
        <w:t xml:space="preserve"> </w:t>
      </w:r>
      <w:r>
        <w:rPr>
          <w:i/>
          <w:iCs/>
        </w:rPr>
        <w:t xml:space="preserve">agentically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, up to six turns with intermediate</w:t>
      </w:r>
      <w:r>
        <w:t xml:space="preserve"> </w:t>
      </w:r>
      <w:r>
        <w:t xml:space="preserve">verifier feedback); the non-Anthropic models run as</w:t>
      </w:r>
      <w:r>
        <w:t xml:space="preserve"> </w:t>
      </w:r>
      <w:r>
        <w:rPr>
          <w:i/>
          <w:iCs/>
        </w:rPr>
        <w:t xml:space="preserve">single-shot</w:t>
      </w:r>
      <w:r>
        <w:t xml:space="preserve"> </w:t>
      </w:r>
      <w:r>
        <w:t xml:space="preserve">completion plus code</w:t>
      </w:r>
      <w:r>
        <w:t xml:space="preserve"> </w:t>
      </w:r>
      <w:r>
        <w:t xml:space="preserve">extraction through an OpenAI-style API. Vendor is therefore confounded with harness in this study:</w:t>
      </w:r>
      <w:r>
        <w:t xml:space="preserve"> </w:t>
      </w:r>
      <w:r>
        <w:t xml:space="preserve">every Anthropic model is agentic and every non-Anthropic model is single-shot. We treat this as a</w:t>
      </w:r>
      <w:r>
        <w:t xml:space="preserve"> </w:t>
      </w:r>
      <w:r>
        <w:t xml:space="preserve">genuine limitation of the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); the</w:t>
      </w:r>
      <w:r>
        <w:t xml:space="preserve"> </w:t>
      </w:r>
      <w:r>
        <w:t xml:space="preserve">per-model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claims (incomparability certified, relevance mis-rank, anti-monotonicity</w:t>
      </w:r>
      <w:r>
        <w:t xml:space="preserve"> </w:t>
      </w:r>
      <w:r>
        <w:t xml:space="preserve">certified) are within-model and unaffected. We note that the single-shot setting is arguably the</w:t>
      </w:r>
      <w:r>
        <w:t xml:space="preserve"> </w:t>
      </w:r>
      <w:r>
        <w:t xml:space="preserve">cleaner probe of whether a model uses supplied context, since it removes the agentic-exploration</w:t>
      </w:r>
      <w:r>
        <w:t xml:space="preserve"> </w:t>
      </w:r>
      <w:r>
        <w:t xml:space="preserve">pathway.</w:t>
      </w:r>
    </w:p>
    <w:bookmarkEnd w:id="73"/>
    <w:bookmarkStart w:id="74" w:name="certificate-parameters."/>
    <w:p>
      <w:pPr>
        <w:pStyle w:val="Heading4"/>
      </w:pPr>
      <w:r>
        <w:t xml:space="preserve">Certificate parameters.</w:t>
      </w:r>
    </w:p>
    <w:p>
      <w:pPr>
        <w:pStyle w:val="FirstParagraph"/>
      </w:pPr>
      <w:r>
        <w:t xml:space="preserve">All certificates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interference certificate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certifying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 the upper bound</w:t>
      </w:r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. We report each certificate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,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 The intervals are degenerate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certify incomparability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the interference contrast, which mixes intermediate baselines, does not.</w:t>
      </w:r>
    </w:p>
    <w:bookmarkEnd w:id="74"/>
    <w:bookmarkStart w:id="75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certificate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four</w:t>
      </w:r>
      <w:r>
        <w:t xml:space="preserve"> </w:t>
      </w:r>
      <w:r>
        <w:t xml:space="preserve">arms within a cell are separate completions, hence independent. We report the decoding parameters,</w:t>
      </w:r>
      <w:r>
        <w:t xml:space="preserve"> </w:t>
      </w:r>
      <w:r>
        <w:t xml:space="preserve">seeding policy, retry policy, and turn budget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The independence assumption is</w:t>
      </w:r>
      <w:r>
        <w:t xml:space="preserve"> </w:t>
      </w:r>
      <w:r>
        <w:t xml:space="preserve">most delicate for the agentic arm, where each draw is a multi-turn trajectory; each run is a fresh</w:t>
      </w:r>
      <w:r>
        <w:t xml:space="preserve"> </w:t>
      </w:r>
      <w:r>
        <w:t xml:space="preserve">trajectory with no shared state, and the binomial model underlying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bound applies at the trajectory level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</w:t>
      </w:r>
    </w:p>
    <w:bookmarkEnd w:id="75"/>
    <w:bookmarkStart w:id="76" w:name="spend."/>
    <w:p>
      <w:pPr>
        <w:pStyle w:val="Heading4"/>
      </w:pPr>
      <w:r>
        <w:t xml:space="preserve">Spend.</w:t>
      </w:r>
    </w:p>
    <w:p>
      <w:pPr>
        <w:pStyle w:val="FirstParagraph"/>
      </w:pPr>
      <w:r>
        <w:t xml:space="preserve">The certified record reflects roughly $170 of Anthropic spend (the live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runs)</w:t>
      </w:r>
      <w:r>
        <w:t xml:space="preserve"> </w:t>
      </w:r>
      <w:r>
        <w:t xml:space="preserve">plus Azure quota for the non-Anthropic models; the Azure API returns no cost field, so the $170</w:t>
      </w:r>
      <w:r>
        <w:t xml:space="preserve"> </w:t>
      </w:r>
      <w:r>
        <w:t xml:space="preserve">figure should not be read as the total cost across all six models.</w:t>
      </w:r>
    </w:p>
    <w:bookmarkEnd w:id="76"/>
    <w:bookmarkEnd w:id="77"/>
    <w:bookmarkStart w:id="97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), the relevance mis-rank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), anti-monotonicity (§</w:t>
      </w:r>
      <w:hyperlink w:anchor="sec:results-antimono">
        <w:r>
          <w:rPr>
            <w:rStyle w:val="Hyperlink"/>
          </w:rPr>
          <w:t xml:space="preserve">7.4.3</w:t>
        </w:r>
      </w:hyperlink>
      <w:r>
        <w:t xml:space="preserve">), and the</w:t>
      </w:r>
      <w:r>
        <w:t xml:space="preserve"> </w:t>
      </w:r>
      <w:r>
        <w:t xml:space="preserve">model-relative value of private context 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). 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consolidates the per-model verdicts; Tables </w:t>
      </w:r>
      <w:hyperlink w:anchor="tab:LD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, and</w:t>
      </w:r>
      <w:r>
        <w:t xml:space="preserve"> 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 the underlying quantities.</w:t>
      </w:r>
    </w:p>
    <w:bookmarkStart w:id="78" w:name="tab:consolidated"/>
    <w:p>
      <w:pPr>
        <w:pStyle w:val="TableCaption"/>
      </w:pPr>
      <w:r>
        <w:t xml:space="preserve">Consolidated 6-model / 4-vendor verdict. Anthropic rows are agentic (</w:t>
      </w:r>
      <w:r>
        <w:rPr>
          <w:rStyle w:val="VerbatimChar"/>
        </w:rPr>
        <w:t xml:space="preserve">claude -p</w:t>
      </w:r>
      <w:r>
        <w:t xml:space="preserve">, up</w:t>
      </w:r>
      <w:r>
        <w:t xml:space="preserve"> </w:t>
      </w:r>
      <w:r>
        <w:t xml:space="preserve">to six turns); the others are single-shot (§</w:t>
      </w:r>
      <w:hyperlink w:anchor="sec:methodology">
        <w:r>
          <w:rPr>
            <w:rStyle w:val="Hyperlink"/>
          </w:rPr>
          <w:t xml:space="preserve">7.3</w:t>
        </w:r>
      </w:hyperlink>
      <w:r>
        <w:t xml:space="preserve">).</w:t>
      </w:r>
      <w:r>
        <w:t xml:space="preserve"> </w:t>
      </w:r>
      <w:r>
        <w:t xml:space="preserve">“Anti-mono. certified”</w:t>
      </w:r>
      <w:r>
        <w:t xml:space="preserve"> </w:t>
      </w:r>
      <w:r>
        <w:t xml:space="preserve">counts</w:t>
      </w:r>
      <w:r>
        <w:t xml:space="preserve"> </w:t>
      </w:r>
      <w:r>
        <w:t xml:space="preserve">cells on which the interference upper 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  <w:r>
        <w:t xml:space="preserve"> </w:t>
      </w:r>
      <w:r>
        <w:t xml:space="preserve">“Argorder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”</w:t>
      </w:r>
      <w:r>
        <w:t xml:space="preserve"> </w:t>
      </w:r>
      <w:r>
        <w:t xml:space="preserve">is the no-context baseline PASS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model-relative-value</w:t>
      </w:r>
      <w:r>
        <w:t xml:space="preserve"> </w:t>
      </w:r>
      <w:r>
        <w:t xml:space="preserve">spectrum. All figures are real measured runs; no modeled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ted 6-model / 4-vendor verdict. Anthropic rows are agentic (claude -p, up to six turns); the others are single-shot (§7.3). “Anti-mono. certified” counts cells on which the interference upper bound clears -\tau = -0.30 at \eta=0.10. “Argorder none” is the no-context baseline PASS on api_argorder, the model-relative-value spectrum. All figures are real measured runs; no modeled number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Kimi-K2.6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Moonshot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per 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Incomp. certified (</w:t>
            </w:r>
            <m:oMath>
              <m:r>
                <m:rPr>
                  <m:sty m:val="p"/>
                </m:rPr>
                <m:t>≥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 mis-rank (trap)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Anti-mono. certified (# cells)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(repro.)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78"/>
    <w:bookmarkStart w:id="81" w:name="sec:results-incomp"/>
    <w:p>
      <w:pPr>
        <w:pStyle w:val="Heading3"/>
      </w:pPr>
      <w:r>
        <w:t xml:space="preserve">Incomparability certified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certifying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); the certificate strengthened from a marginal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0.138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0.877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 far clear of zero.</w:t>
      </w:r>
    </w:p>
    <w:p>
      <w:pPr>
        <w:pStyle w:val="BodyText"/>
      </w:pPr>
      <w:r>
        <w:t xml:space="preserve">Because incomparability is a two-directional claim, each row of 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requires both</w:t>
      </w:r>
      <w:r>
        <w:t xml:space="preserve"> </w:t>
      </w:r>
      <w:r>
        <w:t xml:space="preserve">bounds positive; the smaller of the two is the binding one. The two carrying cells are one API cell</w:t>
      </w:r>
      <w:r>
        <w:t xml:space="preserve"> </w:t>
      </w:r>
      <w:r>
        <w:t xml:space="preserve">and one encoding cell, so the effective support of the surrogate is two cells.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certificate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Start w:id="79" w:name="tab:LD"/>
    <w:p>
      <w:pPr>
        <w:pStyle w:val="TableCaption"/>
      </w:pPr>
      <w:r>
        <w:t xml:space="preserve">Certified incomparability: uniform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</w:t>
      </w:r>
      <w:r>
        <w:t xml:space="preserve"> </w:t>
      </w:r>
      <w:r>
        <w:t xml:space="preserve">(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).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together certify empirical</w:t>
      </w:r>
      <w:r>
        <w:t xml:space="preserve"> </w:t>
      </w:r>
      <w:r>
        <w:t xml:space="preserve">incomparability. Both bounds are read off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</w:t>
      </w:r>
      <w:r>
        <w:t xml:space="preserve"> </w:t>
      </w:r>
      <w:r>
        <w:t xml:space="preserve">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rtified incomparability: uniform (1-\eta) lower bounds L_{\mathcal{D}} in both directions (\eta=0.10). L_{\mathcal{D}}(W_1,W_2) &gt; 0 and L_{\mathcal{D}}(W_2,W_1) &gt; 0 together certify empirical incomparability. Both bounds are read off the same 2|\mathcal{D}| Clopper–Pearson intervals (Proposition 3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</w:tbl>
    <w:bookmarkEnd w:id="79"/>
    <w:bookmarkStart w:id="80" w:name="X6c81f23d1e91ce30e0ac8f28f0eb7c1fbd8f467"/>
    <w:p>
      <w:pPr>
        <w:pStyle w:val="Heading4"/>
      </w:pPr>
      <w:r>
        <w:t xml:space="preserve">Why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for Opus but not interference.</w:t>
      </w:r>
    </w:p>
    <w:p>
      <w:pPr>
        <w:pStyle w:val="FirstParagraph"/>
      </w:pPr>
      <w:r>
        <w:t xml:space="preserve">Opus is 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which certifies incomparability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0.552</m:t>
        </m:r>
      </m:oMath>
      <w:r>
        <w:t xml:space="preserve"> </w:t>
      </w:r>
      <w:r>
        <w:t xml:space="preserve">both directions) but not</w:t>
      </w:r>
      <w:r>
        <w:t xml:space="preserve"> </w:t>
      </w:r>
      <w:r>
        <w:t xml:space="preserve">anti-monotonicity. This asymmetry is principled, not an inconsistent threshold (§</w:t>
      </w:r>
      <w:hyperlink w:anchor="subsec:power">
        <w:r>
          <w:rPr>
            <w:rStyle w:val="Hyperlink"/>
          </w:rPr>
          <w:t xml:space="preserve">[subsec:power]</w:t>
        </w:r>
      </w:hyperlink>
      <w:r>
        <w:t xml:space="preserve">).</w:t>
      </w:r>
      <w:r>
        <w:t xml:space="preserve"> </w:t>
      </w:r>
      <w:r>
        <w:t xml:space="preserve">The incomparability bound is carried by stark cells whose proportions sit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where the</w:t>
      </w:r>
      <w:r>
        <w:t xml:space="preserve"> </w:t>
      </w:r>
      <w:r>
        <w:t xml:space="preserve">Clopper–Pearson interval is degenerate and a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suffices. The interference bound, by contrast,</w:t>
      </w:r>
      <w:r>
        <w:t xml:space="preserve"> </w:t>
      </w:r>
      <w:r>
        <w:t xml:space="preserve">mixes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arms, including the intermediate Opus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trap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t xml:space="preserve">), so the four-term Clopper–Pearson sum stays</w:t>
      </w:r>
      <w:r>
        <w:t xml:space="preserve"> </w:t>
      </w:r>
      <w:r>
        <w:t xml:space="preserve">wide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(upper bounds</w:t>
      </w:r>
      <w:r>
        <w:t xml:space="preserve"> </w:t>
      </w:r>
      <m:oMath>
        <m:r>
          <m:rPr>
            <m:sty m:val="p"/>
          </m:rPr>
          <m:t>−</m:t>
        </m:r>
        <m:r>
          <m:t>0.08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0.11</m:t>
        </m:r>
      </m:oMath>
      <w:r>
        <w:t xml:space="preserve">, not below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). Raising Opus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is the one</w:t>
      </w:r>
      <w:r>
        <w:t xml:space="preserve"> </w:t>
      </w:r>
      <w:r>
        <w:t xml:space="preserve">remaining gap in the consolidated record.</w:t>
      </w:r>
    </w:p>
    <w:bookmarkEnd w:id="80"/>
    <w:bookmarkEnd w:id="81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(e.g. Haiku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 Sonnet,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</m:t>
        </m:r>
        <m:r>
          <m:rPr>
            <m:sty m:val="p"/>
          </m:rPr>
          <m:t>%</m:t>
        </m:r>
      </m:oMath>
      <w:r>
        <w:t xml:space="preserve">). On the honest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isolate. The</w:t>
      </w:r>
      <w:r>
        <w:t xml:space="preserve"> </w:t>
      </w:r>
      <m:oMath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 on the trap confirms</w:t>
      </w:r>
      <w:r>
        <w:t xml:space="preserve"> </w:t>
      </w:r>
      <w:r>
        <w:t xml:space="preserve">genuine unguessability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confirms that encoding knowledge is useless there.</w:t>
      </w:r>
    </w:p>
    <w:bookmarkStart w:id="83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production-family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induced rankings.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feature-based ranker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honest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honest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is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draws: the impossibility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</w:t>
      </w:r>
      <w:r>
        <w:t xml:space="preserve"> </w:t>
      </w:r>
      <w:r>
        <w:t xml:space="preserve">invariance to the decisive coordinate, and the trap defeats the lexical, dense, and cross-encoder</w:t>
      </w:r>
      <w:r>
        <w:t xml:space="preserve"> </w:t>
      </w:r>
      <w:r>
        <w:t xml:space="preserve">families that satisfy it while sparing the one ranker that reads content. The practical corollary</w:t>
      </w:r>
      <w:r>
        <w:t xml:space="preserve"> </w:t>
      </w:r>
      <w:r>
        <w:t xml:space="preserve">is that escaping the topical class costs a model call per candidate, a probe of the same kind the</w:t>
      </w:r>
      <w:r>
        <w:t xml:space="preserve"> </w:t>
      </w:r>
      <w:r>
        <w:t xml:space="preserve">deficiency certificate is built from, not a free scalar.</w:t>
      </w:r>
    </w:p>
    <w:bookmarkStart w:id="82" w:name="tab:rankers"/>
    <w:p>
      <w:pPr>
        <w:pStyle w:val="TableCaption"/>
      </w:pPr>
      <w:r>
        <w:t xml:space="preserve">The ranker spectrum on the probe tasks. Each cell is the ranker’s top pick between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t xml:space="preserve">“PASS”</w:t>
      </w:r>
      <w:r>
        <w:t xml:space="preserve"> </w:t>
      </w:r>
      <w:r>
        <w:t xml:space="preserve">is the realized-utility ranking from the certified record. Dense and</w:t>
      </w:r>
      <w:r>
        <w:t xml:space="preserve"> </w:t>
      </w:r>
      <w:r>
        <w:t xml:space="preserve">cross-encoder scores are deterministic; the LLM listwise row pools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 per task</w:t>
      </w:r>
      <w:r>
        <w:t xml:space="preserve"> </w:t>
      </w:r>
      <w:r>
        <w:t xml:space="preserve">(unanimous, both presentation orders).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marks a mis-rank. The cross-encoder’s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pick is a near-tie (</w:t>
      </w:r>
      <m:oMath>
        <m:r>
          <m:rPr>
            <m:sty m:val="p"/>
          </m:rPr>
          <m:t>−</m:t>
        </m:r>
        <m:r>
          <m:t>0.279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−</m:t>
        </m:r>
        <m:r>
          <m:t>0.305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ranker spectrum on the probe tasks. Each cell is the ranker’s top pick between \{W_1, W_2\}; “PASS” is the realized-utility ranking from the certified record. Dense and cross-encoder scores are deterministic; the LLM listwise row pools n=30 judgments per task (unanimous, both presentation orders). \times marks a mis-rank. The cross-encoder’s enc_amount pick is a near-tie (-0.279 vs -0.3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api_post_ok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enc_amount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bag-of-words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bge-small-en-v1.5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e5-small-v2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ms-marco-MiniLM-L-6-v2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 listwise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listwise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End w:id="83"/>
    <w:bookmarkEnd w:id="84"/>
    <w:bookmarkStart w:id="93" w:name="sec:results-antimono"/>
    <w:p>
      <w:pPr>
        <w:pStyle w:val="Heading3"/>
      </w:pPr>
      <w:r>
        <w:t xml:space="preserve">Anti-monotonicity: a certified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certified negative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at</w:t>
      </w:r>
      <w:r>
        <w:t xml:space="preserve"> </w:t>
      </w:r>
      <w:r>
        <w:t xml:space="preserve">least one cell for five of the six models 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). Opus reproduces the effect</w:t>
      </w:r>
      <w:r>
        <w:t xml:space="preserve"> </w:t>
      </w:r>
      <w:r>
        <w:t xml:space="preserve">with strong point estimates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) but does not certify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. This is a</w:t>
      </w:r>
      <w:r>
        <w:t xml:space="preserve"> </w:t>
      </w:r>
      <w:r>
        <w:t xml:space="preserve">certified empirical falsification of Blackwell superset-dominance on live models</w:t>
      </w:r>
      <w:r>
        <w:t xml:space="preserve"> </w:t>
      </w:r>
      <w:r>
        <w:t xml:space="preserve">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Figure </w:t>
      </w:r>
      <w:hyperlink w:anchor="fig:collaps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collapse across the six models.</w:t>
      </w:r>
    </w:p>
    <w:bookmarkStart w:id="85" w:name="fig:collap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Anti-monotonicity across the capability ladder: PASS on the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</w:t>
      </w:r>
      <w:r>
        <w:t xml:space="preserve"> </w:t>
      </w:r>
      <w:r>
        <w:t xml:space="preserve">under the sufficient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(light) versus the strict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(dark), per model (Table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). The superset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yet</w:t>
      </w:r>
      <w:r>
        <w:t xml:space="preserve"> </w:t>
      </w:r>
      <w:r>
        <w:t xml:space="preserve">collapses performance on every model; the effect is large everywhere but not monotone in</w:t>
      </w:r>
      <w:r>
        <w:t xml:space="preserve"> </w:t>
      </w:r>
      <w:r>
        <w:t xml:space="preserve">capability (Sonnet collapses hardest, Opus least). Anthropic rows agentic, others single-shot;</w:t>
      </w:r>
      <w:r>
        <w:t xml:space="preserve"> </w:t>
      </w:r>
      <w:r>
        <w:t xml:space="preserve">Opus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(reproduced, not certified).</w:t>
      </w:r>
    </w:p>
    <w:bookmarkEnd w:id="85"/>
    <w:bookmarkStart w:id="88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certified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the encoding cell, and both dominate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the correct empirical summary is the two-element</w:t>
      </w:r>
      <w:r>
        <w:t xml:space="preserve"> </w:t>
      </w:r>
      <w:r>
        <w:t xml:space="preserve">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</w:t>
      </w:r>
      <w:r>
        <w:t xml:space="preserve"> </w:t>
      </w:r>
      <w:r>
        <w:t xml:space="preserve">(Figure </w:t>
      </w:r>
      <w:hyperlink w:anchor="fig:hasse">
        <w:r>
          <w:rPr>
            <w:rStyle w:val="Hyperlink"/>
          </w:rPr>
          <w:t xml:space="preserve">2</w:t>
        </w:r>
      </w:hyperlink>
      <w:r>
        <w:t xml:space="preserve">). This reads directly off the certified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cells; the</w:t>
      </w:r>
      <w:r>
        <w:t xml:space="preserve"> </w:t>
      </w:r>
      <w:r>
        <w:t xml:space="preserve">selection rule it implies, keep the certified non-dominated set rather than force the superset,</w:t>
      </w:r>
      <w:r>
        <w:t xml:space="preserve"> </w:t>
      </w:r>
      <w:r>
        <w:t xml:space="preserve">is developed in a companion paper.</w:t>
      </w:r>
    </w:p>
    <w:bookmarkStart w:id="86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paper’s thesis in one picture, on the measured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idealized Blackwell order for the optimal user;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collapses the choice to the superset.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certified empirical order for the fixed model rule (Haiku,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 (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24</m:t>
        </m:r>
        <m:r>
          <m:rPr>
            <m:sty m:val="p"/>
          </m:rPr>
          <m:t>%</m:t>
        </m:r>
      </m:oMath>
      <w:r>
        <w:t xml:space="preserve">, anti-monotonicity, 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 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so the two are empirically incomparable (dashed) and the</w:t>
      </w:r>
      <w:r>
        <w:t xml:space="preserve"> </w:t>
      </w:r>
      <w:r>
        <w:t xml:space="preserve">correct output is the two-element Pareto front, which no scalar top-</w:t>
      </w:r>
      <m:oMath>
        <m:r>
          <m:t>1</m:t>
        </m:r>
      </m:oMath>
      <w:r>
        <w:t xml:space="preserve"> </w:t>
      </w:r>
      <w:r>
        <w:t xml:space="preserve">rule can represent.</w:t>
      </w:r>
    </w:p>
    <w:bookmarkEnd w:id="86"/>
    <w:bookmarkStart w:id="87" w:name="tab:interference"/>
    <w:p>
      <w:pPr>
        <w:pStyle w:val="TableCaption"/>
      </w:pPr>
      <w:r>
        <w:t xml:space="preserve">Anti-monotonicity (interference) certificate on the carrying cell per model.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“Upper”</w:t>
      </w:r>
      <w:r>
        <w:t xml:space="preserve"> </w:t>
      </w:r>
      <w:r>
        <w:t xml:space="preserve">is the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Clopper–Pearson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; the cell is certified harmful</w:t>
      </w:r>
      <w:r>
        <w:t xml:space="preserve"> </w:t>
      </w:r>
      <w:r>
        <w:t xml:space="preserve">when Upper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.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column reports the PASS collapse. The certificate clears</w:t>
      </w:r>
      <w:r>
        <w:t xml:space="preserve"> </w:t>
      </w:r>
      <w:r>
        <w:t xml:space="preserve">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 (the leaky-baseline limitation;</w:t>
      </w:r>
      <w:r>
        <w:t xml:space="preserve"> </w:t>
      </w:r>
      <w:r>
        <w:t xml:space="preserve">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ti-monotonicity (interference) certificate on the carrying cell per model. \Psi_T =     \mathrm{PASS}(W_{1+}) - \mathrm{PASS}(W_1) - \mathrm{PASS}(W_2) + \mathrm{PASS}(\texttt{none}); “Upper” is the \eta/4 Clopper–Pearson upper bound \overline\Psi_T of [eq:psiupper]; the cell is certified harmful when Upper \le -0.30. The W_1 \to W_{1+} column reports the PASS collapse. The certificate clears only on cells whose none baseline floors near zero (the leaky-baseline limitation; Remark 5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Carrying 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Certified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(hardened)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</w:tbl>
    <w:bookmarkEnd w:id="87"/>
    <w:bookmarkEnd w:id="88"/>
    <w:bookmarkStart w:id="89" w:name="Xe149701baef4ebfc0c0660f6732890156a3bb29"/>
    <w:p>
      <w:pPr>
        <w:pStyle w:val="Heading4"/>
      </w:pPr>
      <w:r>
        <w:t xml:space="preserve">The leaky-baseline limitation is a stated protocol.</w:t>
      </w:r>
    </w:p>
    <w:p>
      <w:pPr>
        <w:pStyle w:val="FirstParagraph"/>
      </w:pPr>
      <w:r>
        <w:t xml:space="preserve">The interference upper bound includes the term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 no-context baseline floors near zero. This is exactly why</w:t>
      </w:r>
      <w:r>
        <w:t xml:space="preserve"> </w:t>
      </w:r>
      <w:r>
        <w:t xml:space="preserve">anti-monotonicity certifies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(hardened) for Haiku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dropped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after hardening,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but not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 GPT-5.5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 We state this as a protocol up front</w:t>
      </w:r>
      <w:r>
        <w:t xml:space="preserve"> </w:t>
      </w:r>
      <w:r>
        <w:t xml:space="preserve">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</w:t>
      </w:r>
      <w:r>
        <w:t xml:space="preserve"> </w:t>
      </w:r>
      <w:r>
        <w:t xml:space="preserve">floors near zero, because a leaky baseline mechanically shrinks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’s certifiable magnitude.</w:t>
      </w:r>
      <w:r>
        <w:t xml:space="preserve"> </w:t>
      </w:r>
      <w:r>
        <w:t xml:space="preserve">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therefore reports, per model, which cell carried the certificate and the</w:t>
      </w:r>
      <w:r>
        <w:t xml:space="preserve"> </w:t>
      </w:r>
      <w:r>
        <w:t xml:space="preserve">collapse on it. We also report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alongside every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: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</w:t>
      </w:r>
      <w:r>
        <w:t xml:space="preserve"> </w:t>
      </w:r>
      <w:r>
        <w:t xml:space="preserve">reaches only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(an honest capability difference, vs. 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Claude and GPT), so its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</m:oMath>
      <w:r>
        <w:t xml:space="preserve"> </w:t>
      </w:r>
      <w:r>
        <w:t xml:space="preserve">is computed from a lower starting point and is not directly</w:t>
      </w:r>
      <w:r>
        <w:t xml:space="preserve"> </w:t>
      </w:r>
      <w:r>
        <w:t xml:space="preserve">magnitude-comparable to Sonnet’s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</w:t>
      </w:r>
    </w:p>
    <w:bookmarkEnd w:id="89"/>
    <w:bookmarkStart w:id="90" w:name="order-control."/>
    <w:p>
      <w:pPr>
        <w:pStyle w:val="Heading4"/>
      </w:pPr>
      <w:r>
        <w:t xml:space="preserve">Order control.</w:t>
      </w:r>
    </w:p>
    <w:p>
      <w:pPr>
        <w:pStyle w:val="FirstParagraph"/>
      </w:pPr>
      <w:r>
        <w:t xml:space="preserve">Reordering the superset does not restore performance.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on Haiku,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), and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). On one cell the reversed order</w:t>
      </w:r>
      <w:r>
        <w:t xml:space="preserve"> </w:t>
      </w:r>
      <w:r>
        <w:t xml:space="preserve">is worse and on the other it is better, so order does have a directional effect; but</w:t>
      </w:r>
      <w:r>
        <w:t xml:space="preserve"> </w:t>
      </w:r>
      <w:r>
        <w:rPr>
          <w:i/>
          <w:iCs/>
        </w:rPr>
        <w:t xml:space="preserve">neither</w:t>
      </w:r>
      <w:r>
        <w:t xml:space="preserve"> </w:t>
      </w:r>
      <w:r>
        <w:t xml:space="preserve">ordering recovers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defensible reading is that reordering does not cure the harm, hence</w:t>
      </w:r>
      <w:r>
        <w:t xml:space="preserve"> </w:t>
      </w:r>
      <w:r>
        <w:t xml:space="preserve">the collapse is not a lost-in-the-middle / recency artifact, not that order is irrelevant.</w:t>
      </w:r>
    </w:p>
    <w:bookmarkEnd w:id="90"/>
    <w:bookmarkStart w:id="91" w:name="X086de5874ce71cba9e6d9633bd38de7f701e1cb"/>
    <w:p>
      <w:pPr>
        <w:pStyle w:val="Heading4"/>
      </w:pPr>
      <w:r>
        <w:t xml:space="preserve">Runtime fingerprint (a descriptive correlate).</w:t>
      </w:r>
    </w:p>
    <w:p>
      <w:pPr>
        <w:pStyle w:val="FirstParagraph"/>
      </w:pPr>
      <w:r>
        <w:t xml:space="preserve">The harmful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consistently emits 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106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Haiku collapse and encoding cells (and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even on the still-passing encoding superset</w:t>
      </w:r>
      <w:r>
        <w:t xml:space="preserve"> </w:t>
      </w:r>
      <w:r>
        <w:t xml:space="preserve">cell),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. We report this as a consistent descriptive correlate, not a</w:t>
      </w:r>
      <w:r>
        <w:t xml:space="preserve"> </w:t>
      </w:r>
      <w:r>
        <w:t xml:space="preserve">mechanism: more output on the failing arm could be effect rather than cause, and the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inflation</w:t>
      </w:r>
      <w:r>
        <w:t xml:space="preserve"> </w:t>
      </w:r>
      <w:r>
        <w:t xml:space="preserve">on a cell that still passes undercuts a strict</w:t>
      </w:r>
      <w:r>
        <w:t xml:space="preserve"> </w:t>
      </w:r>
      <w:r>
        <w:t xml:space="preserve">“verbose thrashing causes the collapse”</w:t>
      </w:r>
      <w:r>
        <w:t xml:space="preserve"> </w:t>
      </w:r>
      <w:r>
        <w:t xml:space="preserve">reading.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: the middle model (Sonnet) shows the starkest</w:t>
      </w:r>
      <w:r>
        <w:t xml:space="preserve"> </w:t>
      </w:r>
      <w:r>
        <w:t xml:space="preserve">collapse and the strongest model (Opus) less so. An earlier two-point reading suggested the harm</w:t>
      </w:r>
      <w:r>
        <w:t xml:space="preserve"> </w:t>
      </w:r>
      <w:r>
        <w:t xml:space="preserve">“intensifies with strength”</w:t>
      </w:r>
      <w:r>
        <w:t xml:space="preserve">; the third point falsifies that, and we explicitly do not claim a</w:t>
      </w:r>
      <w:r>
        <w:t xml:space="preserve"> </w:t>
      </w:r>
      <w:r>
        <w:t xml:space="preserve">capability trend, only robustness across the ladder.</w:t>
      </w:r>
    </w:p>
    <w:bookmarkEnd w:id="92"/>
    <w:bookmarkEnd w:id="93"/>
    <w:bookmarkStart w:id="96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Claude</w:t>
      </w:r>
      <w:r>
        <w:t xml:space="preserve"> </w:t>
      </w:r>
      <m:oMath>
        <m:r>
          <m:rPr>
            <m:sty m:val="p"/>
          </m:rPr>
          <m:t>∼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; Figure </w:t>
      </w:r>
      <w:hyperlink w:anchor="fig:spectrum">
        <w:r>
          <w:rPr>
            <w:rStyle w:val="Hyperlink"/>
          </w:rPr>
          <w:t xml:space="preserve">3</w:t>
        </w:r>
      </w:hyperlink>
      <w:r>
        <w:t xml:space="preserve">). Thus the value of the private context, the model-relative quantity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, varies continuously across models. It tracks a vendor’s</w:t>
      </w:r>
      <w:r>
        <w:t xml:space="preserve"> </w:t>
      </w:r>
      <w:r>
        <w:t xml:space="preserve">training rather than raw capability: DeepSeek, a different vendor from Anthropic, nonetheless has a</w:t>
      </w:r>
      <w:r>
        <w:t xml:space="preserve"> </w:t>
      </w:r>
      <w:r>
        <w:t xml:space="preserve">tight prior (baselines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/trap)</w:t>
      </w:r>
      <w:r>
        <w:t xml:space="preserve"> </w:t>
      </w:r>
      <w:r>
        <w:t xml:space="preserve">like Claude, while GPT-5.5’s prior already holds much of the 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). Sonnet’s baselines all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even the stronger Anthropic</w:t>
      </w:r>
      <w:r>
        <w:t xml:space="preserve"> </w:t>
      </w:r>
      <w:r>
        <w:t xml:space="preserve">model does not guess the convention; the value of private context survives the capability ladder. The</w:t>
      </w:r>
      <w:r>
        <w:t xml:space="preserve"> </w:t>
      </w:r>
      <w:r>
        <w:t xml:space="preserve">certified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Start w:id="94" w:name="fig:spectrum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model-relative value of private context as a spectrum: how often each model reproduces</w:t>
      </w:r>
      <w:r>
        <w:t xml:space="preserve"> </w:t>
      </w:r>
      <w:r>
        <w:t xml:space="preserve">the private convention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context supplied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The value of the same fixed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ranges from maximal (Claude, DeepSeek: unguessable) to</w:t>
      </w:r>
      <w:r>
        <w:t xml:space="preserve"> </w:t>
      </w:r>
      <w:r>
        <w:t xml:space="preserve">largely pre-priced-in (GPT-5.5: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guessed), and the ordering tracks vendor training rather than</w:t>
      </w:r>
      <w:r>
        <w:t xml:space="preserve"> </w:t>
      </w:r>
      <w:r>
        <w:t xml:space="preserve">capability, DeepSeek sits with Claude despite being a different vendor, and Opus (the strongest</w:t>
      </w:r>
      <w:r>
        <w:t xml:space="preserve"> </w:t>
      </w:r>
      <w:r>
        <w:t xml:space="preserve">Anthropic model) guesses more than Sonnet.</w:t>
      </w:r>
    </w:p>
    <w:bookmarkEnd w:id="94"/>
    <w:p>
      <w:pPr>
        <w:pStyle w:val="BodyText"/>
      </w:pPr>
      <w:r>
        <w:t xml:space="preserve">We note that this cross-vendor magnitude</w:t>
      </w:r>
      <w:r>
        <w:t xml:space="preserve"> </w:t>
      </w:r>
      <w:r>
        <w:t xml:space="preserve">comparison is the part most exposed to the agentic-vs-single-shot confound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):</w:t>
      </w:r>
      <w:r>
        <w:t xml:space="preserve"> </w:t>
      </w:r>
      <w:r>
        <w:t xml:space="preserve">vendor and harness are not separated in the present runs.</w:t>
      </w:r>
    </w:p>
    <w:bookmarkStart w:id="95" w:name="auditable-per-cell-record."/>
    <w:p>
      <w:pPr>
        <w:pStyle w:val="Heading4"/>
      </w:pPr>
      <w:r>
        <w:t xml:space="preserve">Auditable per-cell record.</w:t>
      </w:r>
    </w:p>
    <w:p>
      <w:pPr>
        <w:pStyle w:val="FirstParagraph"/>
      </w:pPr>
      <w:r>
        <w:t xml:space="preserve">The full per-arm PASS record for every carrying cell is 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so each certificate can be reconstructed from the reported counts.</w:t>
      </w:r>
    </w:p>
    <w:bookmarkEnd w:id="95"/>
    <w:bookmarkEnd w:id="96"/>
    <w:bookmarkEnd w:id="97"/>
    <w:bookmarkStart w:id="98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the largest threats to validity; full protocols and numbers are</w:t>
      </w:r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certified incomparable</w:t>
      </w:r>
      <w:r>
        <w:t xml:space="preserve"> </w:t>
      </w:r>
      <w:r>
        <w:t xml:space="preserve">on Haiku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one-directional dominance fully certified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</w:t>
      </w:r>
      <w:r>
        <w:t xml:space="preserve"> </w:t>
      </w:r>
      <w:r>
        <w:t xml:space="preserve">its interference is certified in sign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because the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 four-term bound wide.</w:t>
      </w:r>
      <w:r>
        <w:t xml:space="preserve"> </w:t>
      </w:r>
      <w:r>
        <w:rPr>
          <w:b/>
          <w:bCs/>
        </w:rPr>
        <w:t xml:space="preserve">(ii) Single-shot</w:t>
      </w:r>
      <w:r>
        <w:rPr>
          <w:b/>
          <w:bCs/>
        </w:rPr>
        <w:t xml:space="preserve"> </w:t>
      </w:r>
      <w:r>
        <w:rPr>
          <w:b/>
          <w:bCs/>
        </w:rPr>
        <w:t xml:space="preserve">replication</w:t>
      </w:r>
      <w:r>
        <w:t xml:space="preserve">: rerunning Haiku in the non-agentic regime preserves certified incomparability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trap mis-rank (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dominance, and one</w:t>
      </w:r>
      <w:r>
        <w:t xml:space="preserve"> </w:t>
      </w:r>
      <w:r>
        <w:t xml:space="preserve">certified interference cell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), so the order-theoretic findings are</w:t>
      </w:r>
      <w:r>
        <w:t xml:space="preserve"> </w:t>
      </w:r>
      <w:r>
        <w:t xml:space="preserve">not agentic-harness artifacts.</w:t>
      </w:r>
      <w:r>
        <w:t xml:space="preserve"> </w:t>
      </w:r>
      <w:r>
        <w:rPr>
          <w:b/>
          <w:bCs/>
        </w:rPr>
        <w:t xml:space="preserve">(iii) Length-matched 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interference</w:t>
      </w:r>
      <w:r>
        <w:t xml:space="preserve"> </w:t>
      </w:r>
      <w:r>
        <w:t xml:space="preserve">certified, upper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), attributing the collapse to the added signal, not token count.</w:t>
      </w:r>
      <w:r>
        <w:t xml:space="preserve"> </w:t>
      </w:r>
      <w:r>
        <w:rPr>
          <w:b/>
          <w:bCs/>
        </w:rPr>
        <w:t xml:space="preserve">(iv)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certified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8"/>
    <w:bookmarkEnd w:id="99"/>
    <w:bookmarkStart w:id="115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results recast a piece of 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genuinely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scope statements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concern</w:t>
      </w:r>
      <w:r>
        <w:t xml:space="preserve"> </w:t>
      </w:r>
      <w:r>
        <w:t xml:space="preserve">the idealized Bayes-optimal user of a source; every measured quantity is PASS at one fixed,</w:t>
      </w:r>
      <w:r>
        <w:t xml:space="preserve"> </w:t>
      </w:r>
      <w:r>
        <w:t xml:space="preserve">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supplies the direction the program needs,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implies Blackwell incomparability, and the converse</w:t>
      </w:r>
      <w:r>
        <w:t xml:space="preserve"> </w:t>
      </w:r>
      <w:r>
        <w:t xml:space="preserve">requires the value-attainment hypothesis (Assumption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) that our task design</w:t>
      </w:r>
      <w:r>
        <w:t xml:space="preserve"> </w:t>
      </w:r>
      <w:r>
        <w:t xml:space="preserve">enforces and our measurements verify; we therefore read the contribution as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incomparability statement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</w:t>
      </w:r>
      <w:r>
        <w:t xml:space="preserve"> </w:t>
      </w:r>
      <w:r>
        <w:t xml:space="preserve">structural conclusion via the bridge 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performs no garbling minimization and ranges over a fixed finite battery; it is a</w:t>
      </w:r>
      <w:r>
        <w:t xml:space="preserve"> </w:t>
      </w:r>
      <w:r>
        <w:t xml:space="preserve">one-sided,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deficiency, and no</w:t>
      </w:r>
      <w:r>
        <w:t xml:space="preserve"> </w:t>
      </w:r>
      <w:r>
        <w:t xml:space="preserve">two-sided inequality relates the two for a fixed sub-optimal rule (Remark </w:t>
      </w:r>
      <w:hyperlink w:anchor="rem:notlecam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What is rigorous is the certificate, which we regard as the most robust contribution and which</w:t>
      </w:r>
      <w:r>
        <w:t xml:space="preserve"> </w:t>
      </w:r>
      <w:r>
        <w:t xml:space="preserve">survives independently of the deficiency analogy.</w:t>
      </w:r>
      <w:r>
        <w:t xml:space="preserve"> </w:t>
      </w:r>
      <w:r>
        <w:rPr>
          <w:b/>
          <w:bCs/>
        </w:rPr>
        <w:t xml:space="preserve">(iii) What the certificate covers.</w:t>
      </w:r>
      <w:r>
        <w:t xml:space="preserve"> </w:t>
      </w:r>
      <w:r>
        <w:t xml:space="preserve">Its</w:t>
      </w:r>
      <w:r>
        <w:t xml:space="preserve"> </w:t>
      </w:r>
      <w:r>
        <w:t xml:space="preserve">correctness rests on paying the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multiplicity via exact intervals and a union bound; its</w:t>
      </w:r>
      <w:r>
        <w:t xml:space="preserve"> </w:t>
      </w:r>
      <w:r>
        <w:t xml:space="preserve">effective support is small (one API cell and one encoding cell carry pair-1 incomparability), each</w:t>
      </w:r>
      <w:r>
        <w:t xml:space="preserve"> </w:t>
      </w:r>
      <w:r>
        <w:t xml:space="preserve">certified claim is controlled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jointly across claims</w:t>
      </w:r>
      <w:r>
        <w:t xml:space="preserve"> </w:t>
      </w:r>
      <w:r>
        <w:t xml:space="preserve">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), and we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battery, not a task</w:t>
      </w:r>
      <w:r>
        <w:t xml:space="preserve"> </w:t>
      </w:r>
      <w:r>
        <w:t xml:space="preserve">distribution.</w:t>
      </w:r>
    </w:p>
    <w:bookmarkEnd w:id="102"/>
    <w:bookmarkStart w:id="104" w:name="sec:disc-antimono"/>
    <w:p>
      <w:pPr>
        <w:pStyle w:val="Heading2"/>
      </w:pPr>
      <w:r>
        <w:t xml:space="preserve">Anti-monotonicity is real, certified, but not capability-ordered</w:t>
      </w:r>
    </w:p>
    <w:p>
      <w:pPr>
        <w:pStyle w:val="FirstParagraph"/>
      </w:pPr>
      <w:r>
        <w:t xml:space="preserve">The interference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harms</w:t>
      </w:r>
      <w:r>
        <w:t xml:space="preserve"> </w:t>
      </w:r>
      <w:r>
        <w:t xml:space="preserve">performance. We certify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five of six models</w:t>
      </w:r>
      <w:r>
        <w:t xml:space="preserve"> </w:t>
      </w:r>
      <w:r>
        <w:t xml:space="preserve">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0.69</m:t>
        </m:r>
      </m:oMath>
      <w:r>
        <w:t xml:space="preserve">) on Sonnet and Kimi. This is a certified empirical falsification of</w:t>
      </w:r>
      <w:r>
        <w:t xml:space="preserve"> </w:t>
      </w:r>
      <w:r>
        <w:t xml:space="preserve">superset-dominance for these fixed rules 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a literal superset of a</w:t>
      </w:r>
      <w:r>
        <w:t xml:space="preserve"> </w:t>
      </w:r>
      <w:r>
        <w:t xml:space="preserve">sufficient signal can sharply reduce PASS, which no monotone-submodular scalar context-value score can</w:t>
      </w:r>
      <w:r>
        <w:t xml:space="preserve"> </w:t>
      </w:r>
      <w:r>
        <w:t xml:space="preserve">represent.</w:t>
      </w:r>
    </w:p>
    <w:p>
      <w:pPr>
        <w:pStyle w:val="BodyText"/>
      </w:pPr>
      <w:r>
        <w:t xml:space="preserve">Two corrections follow from the data.</w:t>
      </w:r>
      <w:r>
        <w:t xml:space="preserve"> </w:t>
      </w:r>
      <w:r>
        <w:rPr>
          <w:b/>
          <w:bCs/>
        </w:rPr>
        <w:t xml:space="preserve">(i) The harm is not monotone in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capability.</w:t>
      </w:r>
      <w:r>
        <w:t xml:space="preserve"> </w:t>
      </w:r>
      <w:r>
        <w:t xml:space="preserve">An early two-point read (Haiku then Sonnet) suggested the collapse</w:t>
      </w:r>
      <w:r>
        <w:t xml:space="preserve"> </w:t>
      </w:r>
      <w:r>
        <w:t xml:space="preserve">“intensifies with</w:t>
      </w:r>
      <w:r>
        <w:t xml:space="preserve"> </w:t>
      </w:r>
      <w:r>
        <w:t xml:space="preserve">model strength”</w:t>
      </w:r>
      <w:r>
        <w:t xml:space="preserve">; adding the third Anthropic model (Opus) falsified this.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the collapse is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(Haiku),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(Sonnet),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(Opus),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the middle model (Sonnet)</w:t>
      </w:r>
      <w:r>
        <w:t xml:space="preserve"> </w:t>
      </w:r>
      <w:r>
        <w:t xml:space="preserve">is the starkest and the strongest (Opus) is less so. The defensible claim is robustness across the</w:t>
      </w:r>
      <w:r>
        <w:t xml:space="preserve"> </w:t>
      </w:r>
      <w:r>
        <w:t xml:space="preserve">capability ladder,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capability trend.</w:t>
      </w:r>
      <w:r>
        <w:t xml:space="preserve"> </w:t>
      </w:r>
      <w:r>
        <w:rPr>
          <w:b/>
          <w:bCs/>
        </w:rPr>
        <w:t xml:space="preserve">(ii) The interference certificate is structurally cell-selected.</w:t>
      </w:r>
      <w:r>
        <w:t xml:space="preserve"> </w:t>
      </w:r>
      <w:r>
        <w:t xml:space="preserve">Its upper bound 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 can only certify harm on cells whose none-baseline</w:t>
      </w:r>
      <w:r>
        <w:t xml:space="preserve"> </w:t>
      </w:r>
      <w:r>
        <w:t xml:space="preserve">floors near zero. This is exactly the set of cells that are unguessable for the model under test, which</w:t>
      </w:r>
      <w:r>
        <w:t xml:space="preserve"> </w:t>
      </w:r>
      <w:r>
        <w:t xml:space="preserve">couples the certifiable-harm set to the model-relative value of private context (§</w:t>
      </w:r>
      <w:hyperlink w:anchor="sec:disc-moat">
        <w:r>
          <w:rPr>
            <w:rStyle w:val="Hyperlink"/>
          </w:rPr>
          <w:t xml:space="preserve">8.3</w:t>
        </w:r>
      </w:hyperlink>
      <w:r>
        <w:t xml:space="preserve">).</w:t>
      </w:r>
      <w:r>
        <w:t xml:space="preserve"> </w:t>
      </w:r>
      <w:r>
        <w:t xml:space="preserve">We treat this 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</w:t>
      </w:r>
      <w:r>
        <w:t xml:space="preserve"> </w:t>
      </w:r>
      <w:r>
        <w:t xml:space="preserve">floor-baseline cells, because a leaky baseline</w:t>
      </w:r>
      <w:r>
        <w:t xml:space="preserve"> </w:t>
      </w:r>
      <w:r>
        <w:t xml:space="preserve">mechanically shrinks the certifiable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harm is certified for</w:t>
      </w:r>
      <w:r>
        <w:t xml:space="preserve"> </w:t>
      </w:r>
      <w:r>
        <w:t xml:space="preserve">Haiku (hardened baseline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 and Sonnet (</w:t>
      </w:r>
      <m:oMath>
        <m:r>
          <m:t>0</m:t>
        </m:r>
        <m:r>
          <m:rPr>
            <m:sty m:val="p"/>
          </m:rPr>
          <m:t>%</m:t>
        </m:r>
      </m:oMath>
      <w:r>
        <w:t xml:space="preserve">) but not for GPT-5.5 (baseline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), DeepSeek,</w:t>
      </w:r>
      <w:r>
        <w:t xml:space="preserve"> </w:t>
      </w:r>
      <w:r>
        <w:t xml:space="preserve">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</w:t>
      </w:r>
    </w:p>
    <w:bookmarkStart w:id="103" w:name="will-scale-restore-blackwell-coherence"/>
    <w:p>
      <w:pPr>
        <w:pStyle w:val="Heading4"/>
      </w:pPr>
      <w:r>
        <w:t xml:space="preserve">Will scale restore Blackwell coherence?</w:t>
      </w:r>
    </w:p>
    <w:p>
      <w:pPr>
        <w:pStyle w:val="FirstParagraph"/>
      </w:pPr>
      <w:r>
        <w:t xml:space="preserve">The capability non-monotonicity raises a question this framework makes precisely testable: is</w:t>
      </w:r>
      <w:r>
        <w:t xml:space="preserve"> </w:t>
      </w:r>
      <w:r>
        <w:t xml:space="preserve">Blackwell coherence of the realized rule an emergent property of scale? Three points on one</w:t>
      </w:r>
      <w:r>
        <w:t xml:space="preserve"> </w:t>
      </w:r>
      <w:r>
        <w:t xml:space="preserve">vendor’s ladder cannot estimate that curve, and we decline to extrapolate from them; what the</w:t>
      </w:r>
      <w:r>
        <w:t xml:space="preserve"> </w:t>
      </w:r>
      <w:r>
        <w:t xml:space="preserve">framework contributes is the</w:t>
      </w:r>
      <w:r>
        <w:t xml:space="preserve"> </w:t>
      </w:r>
      <w:r>
        <w:rPr>
          <w:i/>
          <w:iCs/>
        </w:rPr>
        <w:t xml:space="preserve">instrument</w:t>
      </w:r>
      <w:r>
        <w:t xml:space="preserve">: coherence is now a certifiable property of any</w:t>
      </w:r>
      <w:r>
        <w:t xml:space="preserve"> </w:t>
      </w:r>
      <w:r>
        <w:t xml:space="preserve">fixed rule, so</w:t>
      </w:r>
      <w:r>
        <w:t xml:space="preserve"> </w:t>
      </w:r>
      <w:r>
        <w:t xml:space="preserve">“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versus scale”</w:t>
      </w:r>
      <w:r>
        <w:t xml:space="preserve"> </w:t>
      </w:r>
      <w:r>
        <w:t xml:space="preserve">is a measurable trajectory across model generations</w:t>
      </w:r>
      <w:r>
        <w:t xml:space="preserve"> </w:t>
      </w:r>
      <w:r>
        <w:t xml:space="preserve">rather than a speculation, and the present data offer no comfort that the frontier is already</w:t>
      </w:r>
      <w:r>
        <w:t xml:space="preserve"> </w:t>
      </w:r>
      <w:r>
        <w:t xml:space="preserve">there (GPT-5.5 certifies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collapse; Opus reproduces the harm at strong point</w:t>
      </w:r>
      <w:r>
        <w:t xml:space="preserve"> </w:t>
      </w:r>
      <w:r>
        <w:t xml:space="preserve">estimates). Two things would remain true under any scaling outcome. First, the theory treats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fixed</w:t>
      </w:r>
      <w:r>
        <w:t xml:space="preserve"> </w:t>
      </w:r>
      <w:r>
        <w:rPr>
          <w:i/>
          <w:iCs/>
        </w:rPr>
        <w:t xml:space="preserve">per measurement</w:t>
      </w:r>
      <w:r>
        <w:t xml:space="preserve">, not as a claim that models are static: every new</w:t>
      </w:r>
      <w:r>
        <w:t xml:space="preserve"> </w:t>
      </w:r>
      <w:r>
        <w:t xml:space="preserve">model or configuration is a new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and every certified quantity is</w:t>
      </w:r>
      <w:r>
        <w:t xml:space="preserve"> </w:t>
      </w:r>
      <w:r>
        <w:t xml:space="preserve">indexed by it, so model evolution is inside the framework, not outside it. Second, and</w:t>
      </w:r>
      <w:r>
        <w:t xml:space="preserve"> </w:t>
      </w:r>
      <w:r>
        <w:t xml:space="preserve">decisively: anti-monotonicity is a coherence failure of the</w:t>
      </w:r>
      <w:r>
        <w:t xml:space="preserve"> </w:t>
      </w:r>
      <w:r>
        <w:rPr>
          <w:i/>
          <w:iCs/>
        </w:rPr>
        <w:t xml:space="preserve">rule</w:t>
      </w:r>
      <w:r>
        <w:t xml:space="preserve"> </w:t>
      </w:r>
      <w:r>
        <w:t xml:space="preserve">and could in principle</w:t>
      </w:r>
      <w:r>
        <w:t xml:space="preserve"> </w:t>
      </w:r>
      <w:r>
        <w:t xml:space="preserve">vanish with scale, but incomparability is a structural property of the</w:t>
      </w:r>
      <w:r>
        <w:t xml:space="preserve"> </w:t>
      </w:r>
      <w:r>
        <w:rPr>
          <w:i/>
          <w:iCs/>
        </w:rPr>
        <w:t xml:space="preserve">sources</w:t>
      </w:r>
      <w:r>
        <w:t xml:space="preserve">, mutually</w:t>
      </w:r>
      <w:r>
        <w:t xml:space="preserve"> </w:t>
      </w:r>
      <w:r>
        <w:t xml:space="preserve">non-refining signals stay incomparable no matter how capable the reader becomes, so the paper’s</w:t>
      </w:r>
      <w:r>
        <w:t xml:space="preserve"> </w:t>
      </w:r>
      <w:r>
        <w:t xml:space="preserve">central claim, that selection is a partial-order problem, is invariant to how the scaling</w:t>
      </w:r>
      <w:r>
        <w:t xml:space="preserve"> </w:t>
      </w:r>
      <w:r>
        <w:t xml:space="preserve">question resolves; scale can change only how gracefully a fixed rule degrades, never the order</w:t>
      </w:r>
      <w:r>
        <w:t xml:space="preserve"> </w:t>
      </w:r>
      <w:r>
        <w:t xml:space="preserve">itself.</w:t>
      </w:r>
    </w:p>
    <w:bookmarkEnd w:id="103"/>
    <w:bookmarkEnd w:id="104"/>
    <w:bookmarkStart w:id="105" w:name="sec:disc-moat"/>
    <w:p>
      <w:pPr>
        <w:pStyle w:val="Heading2"/>
      </w:pPr>
      <w:r>
        <w:t xml:space="preserve">The value of private context is model-relative and tracks vendor training</w:t>
      </w:r>
    </w:p>
    <w:p>
      <w:pPr>
        <w:pStyle w:val="FirstParagraph"/>
      </w:pPr>
      <w:r>
        <w:t xml:space="preserve">The value of a private convention,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is itself a model-relative (</w:t>
      </w:r>
      <m:oMath>
        <m:r>
          <m:t>θ</m:t>
        </m:r>
      </m:oMath>
      <w:r>
        <w:t xml:space="preserve">-dependent)</w:t>
      </w:r>
      <w:r>
        <w:t xml:space="preserve"> </w:t>
      </w:r>
      <w:r>
        <w:t xml:space="preserve">object, and the data give a clean continuous map of it. The none-arm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, how often a model reproduces the private convention with no context supplied, forms a spectrum:</w:t>
      </w:r>
      <w:r>
        <w:t xml:space="preserve"> </w:t>
      </w:r>
      <w:r>
        <w:t xml:space="preserve">Claude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We do not claim this</w:t>
      </w:r>
      <w:r>
        <w:t xml:space="preserve"> </w:t>
      </w:r>
      <w:r>
        <w:t xml:space="preserve">tracks capability. The decisive piece of evidence is DeepSeek: it has a tight, near-zero prior like</w:t>
      </w:r>
      <w:r>
        <w:t xml:space="preserve"> </w:t>
      </w:r>
      <w:r>
        <w:t xml:space="preserve">Claude despite being a different vendor, while GPT-5.5’s prior is wide (</w:t>
      </w:r>
      <m:oMath>
        <m:r>
          <m:t>55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).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predicts the</w:t>
      </w:r>
      <w:r>
        <w:t xml:space="preserve"> </w:t>
      </w:r>
      <w:r>
        <w:t xml:space="preserve">spectrum to follow capability; it does not. We read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tracking a vendor’s training</w:t>
      </w:r>
      <w:r>
        <w:t xml:space="preserve"> </w:t>
      </w:r>
      <w:r>
        <w:t xml:space="preserve">distribution rather than raw capability, which makes the theory’s</w:t>
      </w:r>
      <w:r>
        <w:t xml:space="preserve"> </w:t>
      </w:r>
      <m:oMath>
        <m:r>
          <m:t>θ</m:t>
        </m:r>
      </m:oMath>
      <w:r>
        <w:t xml:space="preserve">-dependence concrete and</w:t>
      </w:r>
      <w:r>
        <w:t xml:space="preserve"> </w:t>
      </w:r>
      <w:r>
        <w:t xml:space="preserve">caps which cells certify per model.</w:t>
      </w:r>
    </w:p>
    <w:bookmarkEnd w:id="105"/>
    <w:bookmarkStart w:id="107" w:name="sec:disc-mechanism"/>
    <w:p>
      <w:pPr>
        <w:pStyle w:val="Heading2"/>
      </w:pPr>
      <w:r>
        <w:t xml:space="preserve">Mechanism: the runtime fingerprint is a correlate, not an explanation</w:t>
      </w:r>
    </w:p>
    <w:p>
      <w:pPr>
        <w:pStyle w:val="FirstParagraph"/>
      </w:pPr>
      <w:r>
        <w:t xml:space="preserve">Every collapse is accompanied by output-token inflation on the harmful arm: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collapse cells (e.g. Haiku</w:t>
      </w:r>
      <w:r>
        <w:t xml:space="preserve"> </w:t>
      </w:r>
      <m:oMath>
        <m:r>
          <m:rPr>
            <m:sty m:val="p"/>
          </m:rPr>
          <m:t>+</m:t>
        </m:r>
        <m:r>
          <m:t>106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). 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 uncontrolled: the</w:t>
      </w:r>
      <w:r>
        <w:t xml:space="preserve"> </w:t>
      </w:r>
      <w:r>
        <w:t xml:space="preserve">same superset arm also inflates output by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</w:t>
      </w:r>
      <w:r>
        <w:t xml:space="preserve"> </w:t>
      </w:r>
      <w:r>
        <w:t xml:space="preserve">reproducible correlate of the harmful arm, not a mechanism.</w:t>
      </w:r>
    </w:p>
    <w:p>
      <w:pPr>
        <w:pStyle w:val="BodyText"/>
      </w:pPr>
      <w:r>
        <w:t xml:space="preserve">Two points bound what this paper can and cannot say about mechanism. First, the claim structure is</w:t>
      </w:r>
      <w:r>
        <w:t xml:space="preserve"> </w:t>
      </w:r>
      <w:r>
        <w:t xml:space="preserve">deliberately mechanism-agnostic: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that the realized rule is not</w:t>
      </w:r>
      <w:r>
        <w:t xml:space="preserve"> </w:t>
      </w:r>
      <w:r>
        <w:t xml:space="preserve">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 controls already</w:t>
      </w:r>
      <w:r>
        <w:t xml:space="preserve"> </w:t>
      </w:r>
      <w:r>
        <w:t xml:space="preserve">constrain the hypothesis space from the outside, the harm is not position (order control), not</w:t>
      </w:r>
      <w:r>
        <w:t xml:space="preserve"> </w:t>
      </w:r>
      <w:r>
        <w:t xml:space="preserve">token count (padding control), and is largely, though not fully, curable by explicit convention</w:t>
      </w:r>
      <w:r>
        <w:t xml:space="preserve"> </w:t>
      </w:r>
      <w:r>
        <w:t xml:space="preserve">routing (instruction ablation), a signature consistent with convention interference or</w:t>
      </w:r>
      <w:r>
        <w:t xml:space="preserve"> </w:t>
      </w:r>
      <w:r>
        <w:t xml:space="preserve">mis-binding rather than capacity exhaustion. Second, an activation-level account is genuinely out</w:t>
      </w:r>
      <w:r>
        <w:t xml:space="preserve"> </w:t>
      </w:r>
      <w:r>
        <w:t xml:space="preserve">of reach for the objects studied here: four of the six models are closed-weight production APIs,</w:t>
      </w:r>
      <w:r>
        <w:t xml:space="preserve"> </w:t>
      </w:r>
      <w:r>
        <w:t xml:space="preserve">and the phenomenon is cross-vendor, so any internal story must generalize across architectures we</w:t>
      </w:r>
      <w:r>
        <w:t xml:space="preserve"> </w:t>
      </w:r>
      <w:r>
        <w:t xml:space="preserve">cannot open. The direct path to mechanism is to reproduce the collapse on an open-weight model</w:t>
      </w:r>
      <w:r>
        <w:t xml:space="preserve"> </w:t>
      </w:r>
      <w:r>
        <w:t xml:space="preserve">with the same harness (the launchers speak any OpenAI-compatible endpoint) and then instrument</w:t>
      </w:r>
      <w:r>
        <w:t xml:space="preserve"> </w:t>
      </w:r>
      <w:r>
        <w:t xml:space="preserve">attention and activation patterns on the contrasting arms; we regard this as the natural</w:t>
      </w:r>
      <w:r>
        <w:t xml:space="preserve"> </w:t>
      </w:r>
      <w:r>
        <w:t xml:space="preserve">mechanistic companion study, downstream of, not prerequisite to, the certified behavioral claim.</w:t>
      </w:r>
    </w:p>
    <w:bookmarkStart w:id="106" w:name="X37a5acb05d688eb32bbe54c216dbcf303d3b4c3"/>
    <w:p>
      <w:pPr>
        <w:pStyle w:val="Heading4"/>
      </w:pPr>
      <w:r>
        <w:t xml:space="preserve">Levels of description, and three readings of the phenomenon.</w:t>
      </w:r>
    </w:p>
    <w:p>
      <w:pPr>
        <w:pStyle w:val="FirstParagraph"/>
      </w:pPr>
      <w:r>
        <w:t xml:space="preserve">The partial order is a decision-theoretic, behavioral-level frame; it does not compete with a</w:t>
      </w:r>
      <w:r>
        <w:t xml:space="preserve"> </w:t>
      </w:r>
      <w:r>
        <w:t xml:space="preserve">computational account of how conditioning on added text changes the model’s processing. The two</w:t>
      </w:r>
      <w:r>
        <w:t xml:space="preserve"> </w:t>
      </w:r>
      <w:r>
        <w:t xml:space="preserve">are levels of description of the same event, and the certified behavioral facts are the</w:t>
      </w:r>
      <w:r>
        <w:t xml:space="preserve"> </w:t>
      </w:r>
      <w:r>
        <w:t xml:space="preserve">constraints any computational account must satisfy. Three interpretive readings are compatible</w:t>
      </w:r>
      <w:r>
        <w:t xml:space="preserve"> </w:t>
      </w:r>
      <w:r>
        <w:t xml:space="preserve">with the present data, and each is discriminable by a named experiment.</w:t>
      </w:r>
      <w:r>
        <w:t xml:space="preserve"> </w:t>
      </w:r>
      <w:r>
        <w:rPr>
          <w:b/>
          <w:bCs/>
        </w:rPr>
        <w:t xml:space="preserve">(i) A transient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of current models</w:t>
      </w:r>
      <w:r>
        <w:t xml:space="preserve">: discriminated by the coherence-versus-scale trajectory of</w:t>
      </w:r>
      <w:r>
        <w:t xml:space="preserve"> </w:t>
      </w:r>
      <w:r>
        <w:t xml:space="preserve">§</w:t>
      </w:r>
      <w:hyperlink w:anchor="sec:disc-antimono">
        <w:r>
          <w:rPr>
            <w:rStyle w:val="Hyperlink"/>
          </w:rPr>
          <w:t xml:space="preserve">8.2</w:t>
        </w:r>
      </w:hyperlink>
      <w:r>
        <w:t xml:space="preserve">, if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shrinks toward zero across model generations, the</w:t>
      </w:r>
      <w:r>
        <w:t xml:space="preserve"> </w:t>
      </w:r>
      <w:r>
        <w:t xml:space="preserve">anti-monotonicity half of the phenomenon was a passing artifact (the incomparability half, being</w:t>
      </w:r>
      <w:r>
        <w:t xml:space="preserve"> </w:t>
      </w:r>
      <w:r>
        <w:t xml:space="preserve">a property of the sources, remains).</w:t>
      </w:r>
      <w:r>
        <w:t xml:space="preserve"> </w:t>
      </w:r>
      <w:r>
        <w:rPr>
          <w:b/>
          <w:bCs/>
        </w:rPr>
        <w:t xml:space="preserve">(ii) A property of fixed-compute inference</w:t>
      </w:r>
      <w:r>
        <w:t xml:space="preserve">: a rule</w:t>
      </w:r>
      <w:r>
        <w:t xml:space="preserve"> </w:t>
      </w:r>
      <w:r>
        <w:t xml:space="preserve">that spends the same forward computation regardless of context configuration cannot be optimal</w:t>
      </w:r>
      <w:r>
        <w:t xml:space="preserve"> </w:t>
      </w:r>
      <w:r>
        <w:t xml:space="preserve">for every configuration, on this reading some coherence violation persists at every scale and</w:t>
      </w:r>
      <w:r>
        <w:t xml:space="preserve"> </w:t>
      </w:r>
      <w:r>
        <w:t xml:space="preserve">only relocates.</w:t>
      </w:r>
      <w:r>
        <w:t xml:space="preserve"> </w:t>
      </w:r>
      <w:r>
        <w:rPr>
          <w:b/>
          <w:bCs/>
        </w:rPr>
        <w:t xml:space="preserve">(iii) Prompts as programs</w:t>
      </w:r>
      <w:r>
        <w:t xml:space="preserve">: the added convention does not merely add</w:t>
      </w:r>
      <w:r>
        <w:t xml:space="preserve"> </w:t>
      </w:r>
      <w:r>
        <w:t xml:space="preserve">information, it selects a different computation; this reading is supported by the routing</w:t>
      </w:r>
      <w:r>
        <w:t xml:space="preserve"> </w:t>
      </w:r>
      <w:r>
        <w:t xml:space="preserve">result, a one-line control statement that adds no task-relevant information recovers most of the</w:t>
      </w:r>
      <w:r>
        <w:t xml:space="preserve"> </w:t>
      </w:r>
      <w:r>
        <w:t xml:space="preserve">collapse, and by the structured-context ablation, labeled XML segmentation of the same content</w:t>
      </w:r>
      <w:r>
        <w:t xml:space="preserve"> </w:t>
      </w:r>
      <w:r>
        <w:t xml:space="preserve">recovers only a minority of the collapse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) while the routing statement recovers most</w:t>
      </w:r>
      <w:r>
        <w:t xml:space="preserve"> </w:t>
      </w:r>
      <w:r>
        <w:t xml:space="preserve">of it (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), locating the operative variable in convention-to-task</w:t>
      </w:r>
      <w:r>
        <w:t xml:space="preserve"> </w:t>
      </w:r>
      <w:r>
        <w:rPr>
          <w:i/>
          <w:iCs/>
        </w:rPr>
        <w:t xml:space="preserve">routing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formatting or segmentation. We state these as interpretations, not findings; every certified</w:t>
      </w:r>
      <w:r>
        <w:t xml:space="preserve"> </w:t>
      </w:r>
      <w:r>
        <w:t xml:space="preserve">claim in the paper is independent of which reading is true.</w:t>
      </w:r>
    </w:p>
    <w:bookmarkEnd w:id="106"/>
    <w:bookmarkEnd w:id="107"/>
    <w:bookmarkStart w:id="114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8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with its guarantees and evaluation against strong reranker baselines, is factored into a</w:t>
      </w:r>
      <w:r>
        <w:t xml:space="preserve"> </w:t>
      </w:r>
      <w:r>
        <w:t xml:space="preserve">companion paper. Building the certified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certified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</w:t>
      </w:r>
    </w:p>
    <w:bookmarkEnd w:id="108"/>
    <w:bookmarkStart w:id="109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domains; the cross-vendor record is single-pair. Pair-2 interference is certified in sign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its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</w:t>
      </w:r>
      <w:r>
        <w:t xml:space="preserve"> </w:t>
      </w:r>
      <w:r>
        <w:t xml:space="preserve">four-term bound wide; pair-2’s relevance trap was an honest null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09"/>
    <w:bookmarkStart w:id="110" w:name="vendor-is-confounded-with-harness."/>
    <w:p>
      <w:pPr>
        <w:pStyle w:val="Heading4"/>
      </w:pPr>
      <w:r>
        <w:t xml:space="preserve">Vendor is confounded with harness.</w:t>
      </w:r>
    </w:p>
    <w:p>
      <w:pPr>
        <w:pStyle w:val="FirstParagraph"/>
      </w:pPr>
      <w:r>
        <w:t xml:space="preserve">Anthropic models ran agentically, the rest</w:t>
      </w:r>
      <w:r>
        <w:t xml:space="preserve"> </w:t>
      </w:r>
      <w:r>
        <w:t xml:space="preserve">single-shot, so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 inherit the confound. The binary within-model claims do not, and the single-shot Haiku</w:t>
      </w:r>
      <w:r>
        <w:t xml:space="preserve"> </w:t>
      </w:r>
      <w:r>
        <w:t xml:space="preserve">replication preserves all order-theoretic findings, so they are not agentic artifacts; magnitude</w:t>
      </w:r>
      <w:r>
        <w:t xml:space="preserve"> </w:t>
      </w:r>
      <w:r>
        <w:t xml:space="preserve">comparisons should still be read as suggestive.</w:t>
      </w:r>
    </w:p>
    <w:bookmarkEnd w:id="110"/>
    <w:bookmarkStart w:id="111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certifies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pairs, and measuring certified-incomparability prevalence on natural</w:t>
      </w:r>
      <w:r>
        <w:t xml:space="preserve"> </w:t>
      </w:r>
      <w:r>
        <w:t xml:space="preserve">document pairs is the direct next experiment.</w:t>
      </w:r>
    </w:p>
    <w:bookmarkEnd w:id="111"/>
    <w:bookmarkStart w:id="112" w:name="sampling-and-certification-regime."/>
    <w:p>
      <w:pPr>
        <w:pStyle w:val="Heading4"/>
      </w:pPr>
      <w:r>
        <w:t xml:space="preserve">Sampling and certification regime.</w:t>
      </w:r>
    </w:p>
    <w:p>
      <w:pPr>
        <w:pStyle w:val="FirstParagraph"/>
      </w:pPr>
      <w:r>
        <w:t xml:space="preserve">The certificate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assumption is most delicate for the agentic arm,</w:t>
      </w:r>
      <w:r>
        <w:t xml:space="preserve"> </w:t>
      </w:r>
      <w:r>
        <w:t xml:space="preserve">where each draw is a fresh multi-turn trajectory (protocol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Interference is certifiable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zero, stated</w:t>
      </w:r>
      <w:r>
        <w:t xml:space="preserve"> </w:t>
      </w:r>
      <w:r>
        <w:t xml:space="preserve">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); marginal-versus-joint control is discussed in</w:t>
      </w:r>
      <w:r>
        <w:t xml:space="preserve"> </w:t>
      </w:r>
      <w:r>
        <w:t xml:space="preserve">§</w:t>
      </w:r>
      <w:hyperlink w:anchor="sec:disc-bridge">
        <w:r>
          <w:rPr>
            <w:rStyle w:val="Hyperlink"/>
          </w:rPr>
          <w:t xml:space="preserve">8.1</w:t>
        </w:r>
      </w:hyperlink>
      <w:r>
        <w:t xml:space="preserve">.</w:t>
      </w:r>
    </w:p>
    <w:bookmarkEnd w:id="112"/>
    <w:bookmarkStart w:id="113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production-family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3"/>
    <w:bookmarkEnd w:id="114"/>
    <w:bookmarkEnd w:id="115"/>
    <w:bookmarkStart w:id="116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for language models is, structurally, a partial-order problem rather than a scalar</w:t>
      </w:r>
      <w:r>
        <w:t xml:space="preserve"> </w:t>
      </w:r>
      <w:r>
        <w:t xml:space="preserve">one. When two context sources are Blackwell-incomparable, no scalar score can rank them correctly for</w:t>
      </w:r>
      <w:r>
        <w:t xml:space="preserve"> </w:t>
      </w:r>
      <w:r>
        <w:t xml:space="preserve">all tasks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which gives a formal account of the field’s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transfer”</w:t>
      </w:r>
      <w:r>
        <w:t xml:space="preserve"> </w:t>
      </w:r>
      <w:r>
        <w:t xml:space="preserve">folklore. We made the order measurable with a decision-restricted value-deficiency</w:t>
      </w:r>
      <w:r>
        <w:t xml:space="preserve"> </w:t>
      </w:r>
      <w:r>
        <w:t xml:space="preserve">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equipped with a distribution-free uniform Clopper–Pearson/Bonferroni</w:t>
      </w:r>
      <w:r>
        <w:t xml:space="preserve"> </w:t>
      </w:r>
      <w:r>
        <w:t xml:space="preserve">certificate, and we instantiated the theory on six models across four vendors. On every model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that two private context sources are empirically incomparable; on every model a real</w:t>
      </w:r>
      <w:r>
        <w:t xml:space="preserve"> </w:t>
      </w:r>
      <w:r>
        <w:t xml:space="preserve">query-conditioned lexical relevance score mis-ranks them; and on five of six models we certify a superset</w:t>
      </w:r>
      <w:r>
        <w:t xml:space="preserve"> </w:t>
      </w:r>
      <w:r>
        <w:t xml:space="preserve">of a sufficient source sharply degrading PASS (a collapse as deep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), a certified</w:t>
      </w:r>
      <w:r>
        <w:t xml:space="preserve"> </w:t>
      </w:r>
      <w:r>
        <w:t xml:space="preserve">falsification of superset-monotonicity for these fixed rules. The value of private context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itself model-relative, forming a continuous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spectrum that tracks</w:t>
      </w:r>
      <w:r>
        <w:t xml:space="preserve"> </w:t>
      </w:r>
      <w:r>
        <w:t xml:space="preserve">vendor training rather than raw capability.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. The estimator is a</w:t>
      </w:r>
      <w:r>
        <w:t xml:space="preserve"> </w:t>
      </w:r>
      <w:r>
        <w:t xml:space="preserve">regret-gap surrogate, not a Le Cam deficiency; the certificate, which we regard as the most robust</w:t>
      </w:r>
      <w:r>
        <w:t xml:space="preserve"> </w:t>
      </w:r>
      <w:r>
        <w:t xml:space="preserve">contribution, is correct and survives that re-labeling. The evidence now spans two hand-built source</w:t>
      </w:r>
      <w:r>
        <w:t xml:space="preserve"> </w:t>
      </w:r>
      <w:r>
        <w:t xml:space="preserve">pairs in two domains, a single-shot replication that preserves the order-theoretic claims, and a</w:t>
      </w:r>
      <w:r>
        <w:t xml:space="preserve"> </w:t>
      </w:r>
      <w:r>
        <w:t xml:space="preserve">length-matched padding control that attributes the anti-monotonicity collapse to signal content rather</w:t>
      </w:r>
      <w:r>
        <w:t xml:space="preserve"> </w:t>
      </w:r>
      <w:r>
        <w:t xml:space="preserve">than added tokens; the cross-vendor record remains single-pair, vendor is confounded with harness for</w:t>
      </w:r>
      <w:r>
        <w:t xml:space="preserve"> </w:t>
      </w:r>
      <w:r>
        <w:t xml:space="preserve">the magnitude comparisons, and synergy is 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certified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a theorem about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selection: per-source scalars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and topical query-conditioned scores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), not all context selection.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The hierarchy is computational: scalar scores cannot represent</w:t>
      </w:r>
      <w:r>
        <w:t xml:space="preserve"> </w:t>
      </w:r>
      <w:r>
        <w:t xml:space="preserve">the order, and probes that read content can measure it, at probe cost. The remaining</w:t>
      </w:r>
      <w:r>
        <w:t xml:space="preserve"> </w:t>
      </w:r>
      <w:r>
        <w:t xml:space="preserve">strengthenings, a vendor-general strong mis-rank, larger reranker checkpoints, and a third</w:t>
      </w:r>
      <w:r>
        <w:t xml:space="preserve"> </w:t>
      </w:r>
      <w:r>
        <w:t xml:space="preserve">domain, are the natural next steps, and the experimental record indicates each is cheap to run.</w:t>
      </w:r>
    </w:p>
    <w:bookmarkEnd w:id="116"/>
    <w:bookmarkStart w:id="130" w:name="app:proofs"/>
    <w:p>
      <w:pPr>
        <w:pStyle w:val="Heading1"/>
      </w:pPr>
      <w:r>
        <w:t xml:space="preserve">Deferred proofs and technical material</w:t>
      </w:r>
    </w:p>
    <w:bookmarkStart w:id="117" w:name="proof-of-theorem-thmblackwell"/>
    <w:p>
      <w:pPr>
        <w:pStyle w:val="Heading2"/>
      </w:pPr>
      <w:r>
        <w:t xml:space="preserve">Proof of Theorem </w:t>
      </w:r>
      <w:hyperlink w:anchor="thm:blackwell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This is Blackwell’s theorem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; the loss-function form and the role of</w:t>
      </w:r>
      <w:r>
        <w:t xml:space="preserve"> </w:t>
      </w:r>
      <w:r>
        <w:t xml:space="preserve">randomization are standard </w:t>
      </w:r>
      <w:r>
        <w:t xml:space="preserve">(</w:t>
      </w:r>
      <w:hyperlink w:anchor="ref-lecam1986">
        <w:r>
          <w:rPr>
            <w:rStyle w:val="Hyperlink"/>
          </w:rPr>
          <w:t xml:space="preserve">Le Cam 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We use it as a black box. The only</w:t>
      </w:r>
      <w:r>
        <w:t xml:space="preserve"> </w:t>
      </w:r>
      <w:r>
        <w:t xml:space="preserve">substantive specialization is the reading of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</w:t>
      </w:r>
      <w:r>
        <w:t xml:space="preserve"> </w:t>
      </w:r>
      <w:r>
        <w:t xml:space="preserve">“task with a bounded</w:t>
      </w:r>
      <w:r>
        <w:t xml:space="preserve"> </w:t>
      </w:r>
      <w:r>
        <w:t xml:space="preserve">verifier utility”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</w:t>
      </w:r>
      <w:r>
        <w:t xml:space="preserve"> </w:t>
      </w:r>
      <w:r>
        <w:t xml:space="preserve">“context source”</w:t>
      </w:r>
      <w:r>
        <w:t xml:space="preserve"> </w:t>
      </w:r>
      <w:r>
        <w:t xml:space="preserve">(Definition </w:t>
      </w:r>
      <w:hyperlink w:anchor="def:source">
        <w:r>
          <w:rPr>
            <w:rStyle w:val="Hyperlink"/>
          </w:rPr>
          <w:t xml:space="preserve">1</w:t>
        </w:r>
      </w:hyperlink>
      <w:r>
        <w:t xml:space="preserve">), which</w:t>
      </w:r>
      <w:r>
        <w:t xml:space="preserve"> </w:t>
      </w:r>
      <w:r>
        <w:t xml:space="preserve">is faithful because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a bounded utility and the kernels of</w:t>
      </w:r>
      <w:r>
        <w:t xml:space="preserve"> </w:t>
      </w:r>
      <w:r>
        <w:t xml:space="preserve">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standard Borel. ◻</w:t>
      </w:r>
    </w:p>
    <w:bookmarkEnd w:id="117"/>
    <w:bookmarkStart w:id="118" w:name="proof-of-lemma-lemnoref"/>
    <w:p>
      <w:pPr>
        <w:pStyle w:val="Heading2"/>
      </w:pPr>
      <w:r>
        <w:t xml:space="preserve">Proof of Lemma </w:t>
      </w:r>
      <w:hyperlink w:anchor="lem:noref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18"/>
    <w:bookmarkStart w:id="120" w:name="proof-of-lemma-lembridge"/>
    <w:p>
      <w:pPr>
        <w:pStyle w:val="Heading2"/>
      </w:pPr>
      <w:r>
        <w:t xml:space="preserve">Proof of Lemma </w:t>
      </w:r>
      <w:hyperlink w:anchor="lem:bridge">
        <w:r>
          <w:rPr>
            <w:rStyle w:val="Hyperlink"/>
          </w:rPr>
          <w:t xml:space="preserve">2</w:t>
        </w:r>
      </w:hyperlink>
    </w:p>
    <w:p>
      <w:pPr>
        <w:pStyle w:val="FirstParagraph"/>
      </w:pPr>
      <w:r>
        <w:rPr>
          <w:i/>
          <w:iCs/>
        </w:rPr>
        <w:t xml:space="preserve">Proof of Lemma </w:t>
      </w:r>
      <w:hyperlink w:anchor="lem:bridge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exhibits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. Were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</w:t>
      </w:r>
      <w:r>
        <w:t xml:space="preserve"> </w:t>
      </w:r>
      <w:r>
        <w:t xml:space="preserve">is a garbling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so the rule</w:t>
      </w:r>
      <w:r>
        <w:t xml:space="preserve"> </w:t>
      </w:r>
      <w:r>
        <w:t xml:space="preserve">“garble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’s, then apply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”</w:t>
      </w:r>
      <w:r>
        <w:t xml:space="preserve"> </w:t>
      </w:r>
      <w:r>
        <w:t xml:space="preserve">is available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achieves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hence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admits a</w:t>
      </w:r>
      <w:r>
        <w:t xml:space="preserve"> </w:t>
      </w:r>
      <w:r>
        <w:t xml:space="preserve">rule matching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itself does strictly worse, no contradiction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itself, but the symmetric task forbids the reverse garbling. Concretely,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 the reverse strict inequality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the same construction with roles exchanged. Since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</w:t>
      </w:r>
      <w:r>
        <w:t xml:space="preserve"> </w:t>
      </w:r>
      <w:r>
        <w:t xml:space="preserve">supplies both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neither garbling direction can hold,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Blackwell-incomparable.</w:t>
      </w:r>
      <w:r>
        <w:rPr>
          <w:rStyle w:val="FootnoteReference"/>
        </w:rPr>
        <w:footnoteReference w:id="119"/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’s incomparability; the failure of the unconditional</w:t>
      </w:r>
      <w:r>
        <w:t xml:space="preserve"> </w:t>
      </w:r>
      <w:r>
        <w:t xml:space="preserve">converse is the content of §</w:t>
      </w:r>
      <w:hyperlink w:anchor="subsec:antimono">
        <w:r>
          <w:rPr>
            <w:rStyle w:val="Hyperlink"/>
          </w:rPr>
          <w:t xml:space="preserve">6.4</w:t>
        </w:r>
      </w:hyperlink>
      <w:r>
        <w:t xml:space="preserve"> </w:t>
      </w:r>
      <w:r>
        <w:t xml:space="preserve">(anti-monotonicity: a fixed rule violating an</w:t>
      </w:r>
      <w:r>
        <w:t xml:space="preserve"> </w:t>
      </w:r>
      <w:r>
        <w:t xml:space="preserve">optimal-value inequality). ◻</w:t>
      </w:r>
    </w:p>
    <w:bookmarkEnd w:id="120"/>
    <w:bookmarkStart w:id="121" w:name="proof-of-proposition-propvinfo-monotone"/>
    <w:p>
      <w:pPr>
        <w:pStyle w:val="Heading2"/>
      </w:pPr>
      <w:r>
        <w:t xml:space="preserve">Proof of Proposition </w:t>
      </w:r>
      <w:hyperlink w:anchor="prop:vinfo-monotone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cannot rank a Blackwell-incomparable pair correctly</w:t>
      </w:r>
      <w:r>
        <w:t xml:space="preserve"> </w:t>
      </w:r>
      <w:r>
        <w:t xml:space="preserve">for all tasks. ◻</w:t>
      </w:r>
    </w:p>
    <w:bookmarkEnd w:id="121"/>
    <w:bookmarkStart w:id="122" w:name="proof-of-proposition-propcertificate"/>
    <w:p>
      <w:pPr>
        <w:pStyle w:val="Heading2"/>
      </w:pPr>
      <w:r>
        <w:t xml:space="preserve">Proof of Proposition </w:t>
      </w:r>
      <w:hyperlink w:anchor="prop:certificate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certifying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certificates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22"/>
    <w:bookmarkStart w:id="123" w:name="proof-of-proposition-propinterference"/>
    <w:p>
      <w:pPr>
        <w:pStyle w:val="Heading2"/>
      </w:pPr>
      <w:r>
        <w:t xml:space="preserve">Proof of Proposition </w:t>
      </w:r>
      <w:hyperlink w:anchor="prop:interference">
        <w:r>
          <w:rPr>
            <w:rStyle w:val="Hyperlink"/>
          </w:rPr>
          <w:t xml:space="preserve">4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four arms are independent Bernoulli samples (separate completions), so on the intersection of</w:t>
      </w:r>
      <w:r>
        <w:t xml:space="preserve"> </w:t>
      </w:r>
      <w:r>
        <w:t xml:space="preserve">the four Clopper–Pearson events,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4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by the union</w:t>
      </w:r>
      <w:r>
        <w:t xml:space="preserve"> </w:t>
      </w:r>
      <w:r>
        <w:t xml:space="preserve">bound, each true proportion lies in its interval. Substituting the coverage-respecting endpoint for</w:t>
      </w:r>
      <w:r>
        <w:t xml:space="preserve"> </w:t>
      </w:r>
      <w:r>
        <w:t xml:space="preserve">each term of</w:t>
      </w:r>
      <w:r>
        <w:t xml:space="preserve"> </w:t>
      </w:r>
      <w:hyperlink w:anchor="eq:interference">
        <w:r>
          <w:rPr>
            <w:rStyle w:val="Hyperlink"/>
          </w:rPr>
          <w:t xml:space="preserve">[eq:interference]</w:t>
        </w:r>
      </w:hyperlink>
      <w:r>
        <w:t xml:space="preserve"> </w:t>
      </w:r>
      <w:r>
        <w:t xml:space="preserve">(upper endpoints for the positively-signed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</m:sub>
        </m:sSub>
      </m:oMath>
      <w:r>
        <w:t xml:space="preserve">, lower endpoints for the negatively-signed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) 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on that event.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23"/>
    <w:bookmarkStart w:id="124" w:name="proof-of-theorem-thmantimono"/>
    <w:p>
      <w:pPr>
        <w:pStyle w:val="Heading2"/>
      </w:pPr>
      <w:r>
        <w:t xml:space="preserve">Proof of Theorem </w:t>
      </w:r>
      <w:hyperlink w:anchor="thm:antimono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(a)).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any rule whose value respects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weakly improves under the dominating experiment. The hypothesized strict decrease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contradicts monotonicity,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 Blackwell-coherent. A monotone-submodular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24"/>
    <w:bookmarkStart w:id="126" w:name="why-a-naive-dkw-bound-fails"/>
    <w:p>
      <w:pPr>
        <w:pStyle w:val="Heading2"/>
      </w:pPr>
      <w:r>
        <w:t xml:space="preserve">Why a naive DKW bound fails</w:t>
      </w:r>
    </w:p>
    <w:bookmarkStart w:id="125" w:name="rem:dkw"/>
    <w:p>
      <w:pPr>
        <w:pStyle w:val="FirstParagraph"/>
      </w:pPr>
      <w:r>
        <w:rPr>
          <w:i/>
          <w:iCs/>
        </w:rPr>
        <w:t xml:space="preserve">Remark 6</w:t>
      </w:r>
      <w:r>
        <w:t xml:space="preserve"> </w:t>
      </w:r>
      <w:r>
        <w:t xml:space="preserve">(Why a naive DKW bound fails).</w:t>
      </w:r>
      <w:r>
        <w:t xml:space="preserve"> </w:t>
      </w:r>
      <w:r>
        <w:t xml:space="preserve"> </w:t>
      </w:r>
      <w:r>
        <w:t xml:space="preserve">The Dvoretzky–Kiefer–Wolfowitz inequality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bounds the sup-deviation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empirical CDF from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population CDF over a single i.i.d. sample. Our object</w:t>
      </w:r>
      <w:r>
        <w:t xml:space="preserve"> </w:t>
      </w:r>
      <w:r>
        <w:t xml:space="preserve">is different in two ways that DKW does not handle: it is a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rPr>
          <w:i/>
          <w:iCs/>
        </w:rPr>
        <w:t xml:space="preserve">differences of</w:t>
      </w:r>
      <w:r>
        <w:rPr>
          <w:i/>
          <w:iCs/>
        </w:rPr>
        <w:t xml:space="preserve"> </w:t>
      </w:r>
      <w:r>
        <w:rPr>
          <w:i/>
          <w:iCs/>
        </w:rPr>
        <w:t xml:space="preserve">two binomial means across distinct cells</w:t>
      </w:r>
      <w:r>
        <w:t xml:space="preserve">, and the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argmax-gap cell. A</w:t>
      </w:r>
      <w:r>
        <w:t xml:space="preserve"> </w:t>
      </w:r>
      <w:r>
        <w:t xml:space="preserve">single-sample sup inequality neither spans distinct cells nor pays for the selection, so its nominal</w:t>
      </w:r>
      <w:r>
        <w:t xml:space="preserve"> </w:t>
      </w:r>
      <w:r>
        <w:t xml:space="preserve">level under-covers a supremum 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comparisons; the Type-I error grows with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. The</w:t>
      </w:r>
      <w:r>
        <w:t xml:space="preserve"> </w:t>
      </w:r>
      <w:r>
        <w:t xml:space="preserve">multiplicity must be paid explicitly via the union bound 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), not</w:t>
      </w:r>
      <w:r>
        <w:t xml:space="preserve"> </w:t>
      </w:r>
      <w:r>
        <w:t xml:space="preserve">absorbed into a single-sample DKW envelope.</w:t>
      </w:r>
    </w:p>
    <w:bookmarkEnd w:id="125"/>
    <w:bookmarkEnd w:id="126"/>
    <w:bookmarkStart w:id="128" w:name="relation-to-llm-evaluation-statistics"/>
    <w:p>
      <w:pPr>
        <w:pStyle w:val="Heading2"/>
      </w:pPr>
      <w:r>
        <w:t xml:space="preserve">Relation to LLM-evaluation statistics</w:t>
      </w:r>
    </w:p>
    <w:bookmarkStart w:id="127" w:name="rem:evalstats"/>
    <w:p>
      <w:pPr>
        <w:pStyle w:val="FirstParagraph"/>
      </w:pPr>
      <w:r>
        <w:rPr>
          <w:i/>
          <w:iCs/>
        </w:rPr>
        <w:t xml:space="preserve">Remark 7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certificate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</w:t>
      </w:r>
      <w:hyperlink w:anchor="ref-miller2024errorbars">
        <w:r>
          <w:rPr>
            <w:rStyle w:val="Hyperlink"/>
          </w:rPr>
          <w:t xml:space="preserve">Miller 2024</w:t>
        </w:r>
      </w:hyperlink>
      <w:r>
        <w:t xml:space="preserve">)</w:t>
      </w:r>
      <w:r>
        <w:t xml:space="preserve">, two-sample tests certifying behavioral differences between</w:t>
      </w:r>
      <w:r>
        <w:t xml:space="preserve"> </w:t>
      </w:r>
      <w:r>
        <w:t xml:space="preserve">API-served models </w:t>
      </w:r>
      <w:r>
        <w:t xml:space="preserve">(</w:t>
      </w:r>
      <w:hyperlink w:anchor="ref-gao2024modelequality">
        <w:r>
          <w:rPr>
            <w:rStyle w:val="Hyperlink"/>
          </w:rPr>
          <w:t xml:space="preserve">Gao et al. 2025</w:t>
        </w:r>
      </w:hyperlink>
      <w:r>
        <w:t xml:space="preserve">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</w:t>
      </w:r>
      <w:hyperlink w:anchor="ref-bowyer2025clt">
        <w:r>
          <w:rPr>
            <w:rStyle w:val="Hyperlink"/>
          </w:rPr>
          <w:t xml:space="preserve">Bowyer et al. 2025</w:t>
        </w:r>
      </w:hyperlink>
      <w:r>
        <w:t xml:space="preserve">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27"/>
    <w:bookmarkEnd w:id="128"/>
    <w:bookmarkStart w:id="129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The asymmetric sample sizes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(Opus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but</w:t>
      </w:r>
      <w:r>
        <w:t xml:space="preserve"> </w:t>
      </w:r>
      <w:r>
        <w:t xml:space="preserve">not interference) are principled, not ad hoc. For a stark cell with empirical proportion at an</w:t>
      </w:r>
      <w:r>
        <w:t xml:space="preserve"> </w:t>
      </w:r>
      <w:r>
        <w:t xml:space="preserve">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), the Clopper–Pearson interval collapses to a one-sided bound that</w:t>
      </w:r>
      <w:r>
        <w:t xml:space="preserve"> </w:t>
      </w:r>
      <w:r>
        <w:t xml:space="preserve">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n</m:t>
        </m:r>
      </m:oMath>
      <w:r>
        <w:t xml:space="preserve">: the incomparability certificate</w:t>
      </w:r>
      <w:r>
        <w:t xml:space="preserve"> </w:t>
      </w:r>
      <w:hyperlink w:anchor="eq:LD">
        <w:r>
          <w:rPr>
            <w:rStyle w:val="Hyperlink"/>
          </w:rPr>
          <w:t xml:space="preserve">[eq:LD]</w:t>
        </w:r>
      </w:hyperlink>
      <w:r>
        <w:t xml:space="preserve"> </w:t>
      </w:r>
      <w:r>
        <w:t xml:space="preserve">is carried by such stark</w:t>
      </w:r>
      <w:r>
        <w:t xml:space="preserve"> </w:t>
      </w:r>
      <w:r>
        <w:t xml:space="preserve">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 versa),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suffices. The interference</w:t>
      </w:r>
      <w:r>
        <w:t xml:space="preserve"> </w:t>
      </w:r>
      <w:r>
        <w:t xml:space="preserve">certificate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mixes a possibly-intermediate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with non-endpoint proportions the intervals are wide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underpowered. The</w:t>
      </w:r>
      <w:r>
        <w:t xml:space="preserve"> </w:t>
      </w:r>
      <w:r>
        <w:t xml:space="preserve">two certificates therefore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</w:t>
      </w:r>
      <w:r>
        <w:t xml:space="preserve"> </w:t>
      </w:r>
      <w:r>
        <w:t xml:space="preserve">consolidated record marks Opus incomparability as certified and Opus interference as reproduced but</w:t>
      </w:r>
      <w:r>
        <w:t xml:space="preserve"> </w:t>
      </w:r>
      <w:r>
        <w:t xml:space="preserve">not certified.</w:t>
      </w:r>
    </w:p>
    <w:bookmarkEnd w:id="129"/>
    <w:bookmarkEnd w:id="130"/>
    <w:bookmarkStart w:id="138" w:name="app:record"/>
    <w:p>
      <w:pPr>
        <w:pStyle w:val="Heading1"/>
      </w:pPr>
      <w:r>
        <w:t xml:space="preserve">Extended experimental record</w:t>
      </w:r>
    </w:p>
    <w:bookmarkStart w:id="131" w:name="tab:percell"/>
    <w:p>
      <w:pPr>
        <w:pStyle w:val="TableCaption"/>
      </w:pPr>
      <w:r>
        <w:t xml:space="preserve">Per-cell PASS rates (</w:t>
      </w:r>
      <m:oMath>
        <m:r>
          <m:rPr>
            <m:sty m:val="p"/>
          </m:rPr>
          <m:t>%</m:t>
        </m:r>
      </m:oMath>
      <w:r>
        <w:t xml:space="preserve">) for the carrying cells, by arm. Anthropic rows agentic, others</w:t>
      </w:r>
      <w:r>
        <w:t xml:space="preserve"> </w:t>
      </w:r>
      <w:r>
        <w:t xml:space="preserve">single-shot.</w:t>
      </w:r>
      <w:r>
        <w:t xml:space="preserve"> </w:t>
      </w:r>
      <w:r>
        <w:t xml:space="preserve">“–”</w:t>
      </w:r>
      <w:r>
        <w:t xml:space="preserve"> </w:t>
      </w:r>
      <w:r>
        <w:t xml:space="preserve">marks an arm not in that run.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(Haiku) lowered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while leaving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ell PASS rates (\%) for the carrying cells, by arm. Anthropic rows agentic, others single-shot. “–” marks an arm not in that run. Hardened api_argorder (Haiku) lowered the none baseline from 40\% to 1\% while leaving W_1 at 100\%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131"/>
    <w:bookmarkStart w:id="137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the largest threats to validity directly: source-pair</w:t>
      </w:r>
      <w:r>
        <w:t xml:space="preserve"> </w:t>
      </w:r>
      <w:r>
        <w:t xml:space="preserve">generality, the agentic-harness confound, the context-length confound, and whether the</w:t>
      </w:r>
      <w:r>
        <w:t xml:space="preserve"> </w:t>
      </w:r>
      <w:r>
        <w:t xml:space="preserve">anti-monotonicity collapse is curable by cheap prompting.</w:t>
      </w:r>
    </w:p>
    <w:bookmarkStart w:id="132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certified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certifies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</m:oMath>
      <w:r>
        <w:t xml:space="preserve">); re-running the four arms of the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 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, which certifies</w:t>
      </w:r>
      <w:r>
        <w:t xml:space="preserve"> </w:t>
      </w:r>
      <w:r>
        <w:rPr>
          <w:i/>
          <w:iCs/>
        </w:rPr>
        <w:t xml:space="preserve">strictly negative</w:t>
      </w:r>
      <w:r>
        <w:t xml:space="preserve"> </w:t>
      </w:r>
      <w:r>
        <w:t xml:space="preserve">interference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but</w:t>
      </w:r>
      <w:r>
        <w:t xml:space="preserve"> </w:t>
      </w:r>
      <w:r>
        <w:t xml:space="preserve">does not clear the pre-registered magnitude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 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which keeps the four-term bound wide</w:t>
      </w:r>
      <w:r>
        <w:t xml:space="preserve"> </w:t>
      </w:r>
      <w:r>
        <w:t xml:space="preserve">regardless of</w:t>
      </w:r>
      <w:r>
        <w:t xml:space="preserve"> </w:t>
      </w:r>
      <m:oMath>
        <m:r>
          <m:t>n</m:t>
        </m:r>
      </m:oMath>
      <w:r>
        <w:t xml:space="preserve">. We report pair-2 interference as a certified sign, not a certified magnitude.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 also strengthens the dominance control to a fully certified one-directional dominance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certified strict win).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32"/>
    <w:bookmarkStart w:id="133" w:name="single-shot-breaks-the-harness-confound."/>
    <w:p>
      <w:pPr>
        <w:pStyle w:val="Heading4"/>
      </w:pPr>
      <w:r>
        <w:t xml:space="preserve">Single-shot breaks the harness confound.</w:t>
      </w:r>
    </w:p>
    <w:p>
      <w:pPr>
        <w:pStyle w:val="FirstParagraph"/>
      </w:pPr>
      <w:r>
        <w:t xml:space="preserve">To separate vendor from harness, we ran an Anthropic model (Haiku) in</w:t>
      </w:r>
      <w:r>
        <w:t xml:space="preserve"> </w:t>
      </w:r>
      <w:r>
        <w:rPr>
          <w:i/>
          <w:iCs/>
        </w:rPr>
        <w:t xml:space="preserve">single-shot completion</w:t>
      </w:r>
      <w:r>
        <w:t xml:space="preserve"> </w:t>
      </w:r>
      <w:r>
        <w:t xml:space="preserve">mode, one turn, no tools, code extracted from the returned text, the same regime as the non-Anthropic</w:t>
      </w:r>
      <w:r>
        <w:t xml:space="preserve"> </w:t>
      </w:r>
      <w:r>
        <w:t xml:space="preserve">models.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core results survive the non-agentic harness: incomparability is certified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relevance mis-rank reproduces (trap PASS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the dominance control certifies, and anti-monotonicity is certified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). The one regime-dependent quantity is</w:t>
      </w:r>
      <w:r>
        <w:t xml:space="preserve"> </w:t>
      </w:r>
      <w:r>
        <w:t xml:space="preserve">absolute execution reliability: single-shot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rescue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agentic (no retries to self-correct), so that cell’s interference does not certify single-shot</w:t>
      </w:r>
      <w:r>
        <w:t xml:space="preserve"> </w:t>
      </w:r>
      <w:r>
        <w:t xml:space="preserve">while its order-theoretic claims do. The order-theoretic findings, certified incomparability, relevance</w:t>
      </w:r>
      <w:r>
        <w:t xml:space="preserve"> </w:t>
      </w:r>
      <w:r>
        <w:t xml:space="preserve">mis-rank, dominance, and at least one certified interference cell, are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artifacts of</w:t>
      </w:r>
      <w:r>
        <w:t xml:space="preserve"> </w:t>
      </w:r>
      <w:r>
        <w:t xml:space="preserve">the agentic harness.</w:t>
      </w:r>
    </w:p>
    <w:bookmarkEnd w:id="133"/>
    <w:bookmarkStart w:id="134" w:name="a-length-matched-padding-control."/>
    <w:p>
      <w:pPr>
        <w:pStyle w:val="Heading4"/>
      </w:pPr>
      <w:r>
        <w:t xml:space="preserve">A length-matched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certificate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0.82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4"/>
    <w:bookmarkStart w:id="135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the residual gap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, intervals</w:t>
      </w:r>
      <w:r>
        <w:t xml:space="preserve"> </w:t>
      </w:r>
      <m:oMath>
        <m:r>
          <m:rPr>
            <m:sty m:val="p"/>
          </m:rPr>
          <m:t>[</m:t>
        </m:r>
        <m:r>
          <m:t>0.62</m:t>
        </m:r>
        <m:r>
          <m:rPr>
            <m:sty m:val="p"/>
          </m:rPr>
          <m:t>,</m:t>
        </m:r>
        <m:r>
          <m:t>0.92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0.90</m:t>
        </m:r>
        <m:r>
          <m:rPr>
            <m:sty m:val="p"/>
          </m:rPr>
          <m:t>,</m:t>
        </m:r>
        <m:r>
          <m:t>1.00</m:t>
        </m:r>
        <m:r>
          <m:rPr>
            <m:sty m:val="p"/>
          </m:rPr>
          <m:t>]</m:t>
        </m:r>
      </m:oMath>
      <w:r>
        <w:t xml:space="preserve">) is directional but not separated at</w:t>
      </w:r>
      <w:r>
        <w:t xml:space="preserve"> </w:t>
      </w:r>
      <w:r>
        <w:t xml:space="preserve">this</w:t>
      </w:r>
      <w:r>
        <w:t xml:space="preserve"> </w:t>
      </w:r>
      <m:oMath>
        <m:r>
          <m:t>n</m:t>
        </m:r>
      </m:oMath>
      <w:r>
        <w:t xml:space="preserve">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certificate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certified falsification of</w:t>
      </w:r>
      <w:r>
        <w:t xml:space="preserve"> </w:t>
      </w: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35"/>
    <w:bookmarkStart w:id="136" w:name="X9488de75bf9879d7a0599574b61e9ffd4996347"/>
    <w:p>
      <w:pPr>
        <w:pStyle w:val="Heading4"/>
      </w:pPr>
      <w:r>
        <w:t xml:space="preserve">A structured-context ablation: segmentation is not the bottleneck.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locates the failure in convention-to-task routing.</w:t>
      </w:r>
    </w:p>
    <w:bookmarkEnd w:id="136"/>
    <w:bookmarkEnd w:id="137"/>
    <w:bookmarkEnd w:id="138"/>
    <w:bookmarkStart w:id="224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bundle—the measurement harness, the</w:t>
      </w:r>
      <w:r>
        <w:t xml:space="preserve"> </w:t>
      </w:r>
      <w:r>
        <w:t xml:space="preserve">executable verifiers, and every per-model run log and result JSON cited below—is available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tokenbench/measure_blackwell.py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certificate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certificate,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39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certified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</w:t>
      </w:r>
      <w:r>
        <w:t xml:space="preserve"> </w:t>
      </w:r>
      <w:r>
        <w:t xml:space="preserve">and dropping its 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</w:t>
      </w:r>
      <w:r>
        <w:t xml:space="preserve"> </w:t>
      </w:r>
      <w:r>
        <w:t xml:space="preserve">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plus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nor/>
                <m:sty m:val="p"/>
              </m:rPr>
              <m:t>rev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+</m:t>
        </m:r>
        <m:r>
          <m:t>​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control and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(length-matched neutral filler</w:t>
      </w:r>
      <w:r>
        <w:t xml:space="preserve"> </w:t>
      </w:r>
      <m:oMath>
        <m:r>
          <m:rPr>
            <m:sty m:val="p"/>
          </m:rPr>
          <m:t>+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for the padding control.</w:t>
      </w:r>
      <w:r>
        <w:t xml:space="preserve"> </w:t>
      </w:r>
      <w:r>
        <w:t xml:space="preserve">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completions per cell and the certificate uses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The</w:t>
      </w:r>
      <w:r>
        <w:t xml:space="preserve"> </w:t>
      </w:r>
      <w:r>
        <w:t xml:space="preserve">Anthropic arms run agentically (</w:t>
      </w:r>
      <w:r>
        <w:rPr>
          <w:rStyle w:val="VerbatimChar"/>
        </w:rPr>
        <w:t xml:space="preserve">claude -p</w:t>
      </w:r>
      <w:r>
        <w:t xml:space="preserve">, up to six turns); the non-Anthropic arms run</w:t>
      </w:r>
      <w:r>
        <w:t xml:space="preserve"> </w:t>
      </w:r>
      <w:r>
        <w:t xml:space="preserve">single-shot (one completion + code extraction). We note for transparency that this design</w:t>
      </w:r>
      <w:r>
        <w:t xml:space="preserve"> </w:t>
      </w:r>
      <w:r>
        <w:t xml:space="preserve">choice, agentic for Anthropic, single-shot for the others, is the vendor/harness confound discussed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39"/>
    <w:bookmarkStart w:id="140" w:name="Xf4f8da9e54991239830136bf5d464446457b4e0"/>
    <w:p>
      <w:pPr>
        <w:pStyle w:val="Heading4"/>
      </w:pPr>
      <w:r>
        <w:t xml:space="preserve">Decoding, seeding, retries, and turn budget.</w:t>
      </w:r>
    </w:p>
    <w:p>
      <w:pPr>
        <w:pStyle w:val="FirstParagraph"/>
      </w:pPr>
      <w:r>
        <w:t xml:space="preserve">All runs use the provider’s default</w:t>
      </w:r>
      <w:r>
        <w:t xml:space="preserve"> </w:t>
      </w:r>
      <w:r>
        <w:t xml:space="preserve">decoding configuration: the harness sets no explicit temperature, top-</w:t>
      </w:r>
      <m:oMath>
        <m:r>
          <m:t>p</m:t>
        </m:r>
      </m:oMath>
      <w:r>
        <w:t xml:space="preserve">, or seed for any arm</w:t>
      </w:r>
      <w:r>
        <w:t xml:space="preserve"> </w:t>
      </w:r>
      <w:r>
        <w:t xml:space="preserve">(the Claude CLI and the Azure/OpenAI-compatible launchers are invoked without sampling</w:t>
      </w:r>
      <w:r>
        <w:t xml:space="preserve"> </w:t>
      </w:r>
      <w:r>
        <w:t xml:space="preserve">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 are independent samples from each provider’s default</w:t>
      </w:r>
      <w:r>
        <w:t xml:space="preserve"> </w:t>
      </w:r>
      <w:r>
        <w:t xml:space="preserve">decoder. Each draw is a fresh process invocation with no state shared across draws; the agentic</w:t>
      </w:r>
      <w:r>
        <w:t xml:space="preserve"> </w:t>
      </w:r>
      <w:r>
        <w:t xml:space="preserve">arm allows up to six turns, the single-shot arms exactly one, with a</w:t>
      </w:r>
      <w:r>
        <w:t xml:space="preserve"> </w:t>
      </w:r>
      <m:oMath>
        <m:r>
          <m:t>200</m:t>
        </m:r>
      </m:oMath>
      <w:r>
        <w:t xml:space="preserve">-second timeout per</w:t>
      </w:r>
      <w:r>
        <w:t xml:space="preserve"> </w:t>
      </w:r>
      <w:r>
        <w:t xml:space="preserve">call. Transport-level failures (empty or zero-token results) are retried up to three times with</w:t>
      </w:r>
      <w:r>
        <w:t xml:space="preserve"> </w:t>
      </w:r>
      <w:r>
        <w:t xml:space="preserve">quadratic backoff; a draw that still fails is scored as a failure, never as a pass. Runs recorded</w:t>
      </w:r>
      <w:r>
        <w:t xml:space="preserve"> </w:t>
      </w:r>
      <w:r>
        <w:t xml:space="preserve">before the padding control predate the retry wrapper and used single attempts, under which a</w:t>
      </w:r>
      <w:r>
        <w:t xml:space="preserve"> </w:t>
      </w:r>
      <w:r>
        <w:t xml:space="preserve">transport failure scores as a failure; the stark</w:t>
      </w:r>
      <w:r>
        <w:t xml:space="preserve"> </w:t>
      </w:r>
      <m:oMath>
        <m:r>
          <m:t>98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ceilings in the certified</w:t>
      </w:r>
      <w:r>
        <w:t xml:space="preserve"> </w:t>
      </w:r>
      <w:r>
        <w:t xml:space="preserve">anchors indicate such failures were negligible in those runs.</w:t>
      </w:r>
    </w:p>
    <w:bookmarkEnd w:id="140"/>
    <w:bookmarkStart w:id="141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blackwell_*_n*.{log,json}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blackwell_n80_run.log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blackwell_n80_results.json</w:t>
      </w:r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bundled certification,</w:t>
      </w:r>
      <w:r>
        <w:t xml:space="preserve"> </w:t>
      </w:r>
      <m:oMath>
        <m:r>
          <m:t>1600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blackwell_argorder_n80.{json,log}</w:t>
      </w:r>
      <w:r>
        <w:t xml:space="preserve"> </w:t>
      </w:r>
      <w:r>
        <w:t xml:space="preserve">(the hardened</w:t>
      </w:r>
      <w:r>
        <w:t xml:space="preserve"> </w:t>
      </w:r>
      <w:r>
        <w:t xml:space="preserve">second anti-monotonicity cell),</w:t>
      </w:r>
      <w:r>
        <w:t xml:space="preserve"> </w:t>
      </w:r>
      <w:r>
        <w:rPr>
          <w:rStyle w:val="VerbatimChar"/>
        </w:rPr>
        <w:t xml:space="preserve">blackwell_sonnet_n40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blackwell_opus_n20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(the length-matched padding control,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(the pair-2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r>
          <m:t>320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(the routing-instruction ablation,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 and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blackwell_xml_arm_only</w:t>
      </w:r>
      <w:r>
        <w:t xml:space="preserve"> </w:t>
      </w:r>
      <w:r>
        <w:t xml:space="preserve">(the structured-context</w:t>
      </w:r>
      <w:r>
        <w:t xml:space="preserve"> </w:t>
      </w:r>
      <w:r>
        <w:t xml:space="preserve">ablation; the first run’s XML arm is transport-invalidated and superseded by the arm-only re-run),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(the LLM listwise reranker probe,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calls;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tokenbench/measure_reranker_trap.py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(the</w:t>
      </w:r>
      <w:r>
        <w:t xml:space="preserve"> </w:t>
      </w:r>
      <w:r>
        <w:t xml:space="preserve">dense/cross-encoder probe, deterministic local scoring of open-weight checkpoints at zero API</w:t>
      </w:r>
      <w:r>
        <w:t xml:space="preserve"> </w:t>
      </w:r>
      <w:r>
        <w:t xml:space="preserve">cost; harness</w:t>
      </w:r>
      <w:r>
        <w:t xml:space="preserve"> </w:t>
      </w:r>
      <w:r>
        <w:rPr>
          <w:rStyle w:val="VerbatimChar"/>
        </w:rPr>
        <w:t xml:space="preserve">tokenbench/measure_dense_trap.py</w:t>
      </w:r>
      <w:r>
        <w:t xml:space="preserve">). The</w:t>
      </w:r>
      <w:r>
        <w:t xml:space="preserve"> </w:t>
      </w:r>
      <w:r>
        <w:t xml:space="preserve">full experimental record with exact per-cell figures is in</w:t>
      </w:r>
      <w:r>
        <w:t xml:space="preserve"> </w:t>
      </w:r>
      <w:r>
        <w:rPr>
          <w:rStyle w:val="VerbatimChar"/>
        </w:rPr>
        <w:t xml:space="preserve">EXPERIMENT-BLACKWELL.md</w:t>
      </w:r>
      <w:r>
        <w:t xml:space="preserve"> </w:t>
      </w:r>
      <w:r>
        <w:t xml:space="preserve">(§§10–13)</w:t>
      </w:r>
      <w:r>
        <w:t xml:space="preserve"> </w:t>
      </w:r>
      <w:r>
        <w:t xml:space="preserve">and the theory hardening (formalization and proof sketches) in</w:t>
      </w:r>
      <w:r>
        <w:t xml:space="preserve"> </w:t>
      </w:r>
      <w:r>
        <w:rPr>
          <w:rStyle w:val="VerbatimChar"/>
        </w:rPr>
        <w:t xml:space="preserve">BLACKWELL.md</w:t>
      </w:r>
      <w:r>
        <w:t xml:space="preserve"> </w:t>
      </w:r>
      <w:r>
        <w:t xml:space="preserve">(§10).</w:t>
      </w:r>
    </w:p>
    <w:bookmarkEnd w:id="141"/>
    <w:bookmarkStart w:id="142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spend was approximately $210 on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): roughly $123 across the Haiku and Sonnet anchors plus the Opus run ($49.84),</w:t>
      </w:r>
      <w:r>
        <w:t xml:space="preserve"> </w:t>
      </w:r>
      <w:r>
        <w:t xml:space="preserve">the order-control and second-cell runs, the padding control ($7.73), the pair-2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</w:t>
      </w:r>
      <w:r>
        <w:t xml:space="preserve"> </w:t>
      </w:r>
      <w:r>
        <w:t xml:space="preserve">($10.05), the routing-instruction ablation ($7.90), and the structured-context ablation</w:t>
      </w:r>
      <w:r>
        <w:t xml:space="preserve"> </w:t>
      </w:r>
      <w:r>
        <w:t xml:space="preserve">($8.40 across an arm-invalidated first run and a clean arm-only re-run); the dense/cross-encoder</w:t>
      </w:r>
      <w:r>
        <w:t xml:space="preserve"> </w:t>
      </w:r>
      <w:r>
        <w:t xml:space="preserve">probe ran</w:t>
      </w:r>
      <w:r>
        <w:t xml:space="preserve"> </w:t>
      </w:r>
      <w:r>
        <w:t xml:space="preserve">locally on open weights at zero API cost. The non-Anthropic runs (GPT-5.5, DeepSeek, Kimi) used Azure</w:t>
      </w:r>
      <w:r>
        <w:t xml:space="preserve"> </w:t>
      </w:r>
      <w:r>
        <w:t xml:space="preserve">quota; the Azure Responses API returns no cost field, so those rows report a $0 cost artifact while token</w:t>
      </w:r>
      <w:r>
        <w:t xml:space="preserve"> </w:t>
      </w:r>
      <w:r>
        <w:t xml:space="preserve">counts are captured, the $190 figure is the Anthropic spend, not the total cost of all six models.</w:t>
      </w:r>
    </w:p>
    <w:bookmarkEnd w:id="142"/>
    <w:bookmarkStart w:id="223" w:name="reference-verification."/>
    <w:p>
      <w:pPr>
        <w:pStyle w:val="Heading4"/>
      </w:pPr>
      <w:r>
        <w:t xml:space="preserve">Reference verification.</w:t>
      </w:r>
    </w:p>
    <w:p>
      <w:pPr>
        <w:pStyle w:val="FirstParagraph"/>
      </w:pPr>
      <w:r>
        <w:t xml:space="preserve">The bibliography was assembled in part with automated</w:t>
      </w:r>
      <w:r>
        <w:t xml:space="preserve"> </w:t>
      </w:r>
      <w:r>
        <w:t xml:space="preserve">literature search and every entry was subsequently verified against arXiv/DBLP/publisher</w:t>
      </w:r>
      <w:r>
        <w:t xml:space="preserve"> </w:t>
      </w:r>
      <w:r>
        <w:t xml:space="preserve">records; all entries resolve to real papers, and the classics (Blackwell 1953; Le Cam</w:t>
      </w:r>
      <w:r>
        <w:t xml:space="preserve"> </w:t>
      </w:r>
      <w:r>
        <w:t xml:space="preserve">1964/1986; Torgersen 1991; Ethayarajh et al. 2022) were checked against the primary sources.</w:t>
      </w:r>
    </w:p>
    <w:bookmarkStart w:id="222" w:name="refs"/>
    <w:bookmarkStart w:id="144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44"/>
    <w:bookmarkStart w:id="146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45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46"/>
    <w:bookmarkStart w:id="147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47"/>
    <w:bookmarkStart w:id="149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49"/>
    <w:bookmarkStart w:id="151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51"/>
    <w:bookmarkStart w:id="153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52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53"/>
    <w:bookmarkStart w:id="155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55"/>
    <w:bookmarkStart w:id="157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57"/>
    <w:bookmarkStart w:id="159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58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59"/>
    <w:bookmarkStart w:id="161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61"/>
    <w:bookmarkStart w:id="163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63"/>
    <w:bookmarkStart w:id="165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64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65"/>
    <w:bookmarkStart w:id="166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66"/>
    <w:bookmarkStart w:id="168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68"/>
    <w:bookmarkStart w:id="170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69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70"/>
    <w:bookmarkStart w:id="172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172"/>
    <w:bookmarkStart w:id="174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173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174"/>
    <w:bookmarkStart w:id="176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176"/>
    <w:bookmarkStart w:id="178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178"/>
    <w:bookmarkStart w:id="180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180"/>
    <w:bookmarkStart w:id="182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181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182"/>
    <w:bookmarkStart w:id="184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184"/>
    <w:bookmarkStart w:id="186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186"/>
    <w:bookmarkStart w:id="188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188"/>
    <w:bookmarkStart w:id="190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190"/>
    <w:bookmarkStart w:id="192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191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192"/>
    <w:bookmarkStart w:id="194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194"/>
    <w:bookmarkStart w:id="196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196"/>
    <w:bookmarkStart w:id="198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198"/>
    <w:bookmarkStart w:id="200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199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00"/>
    <w:bookmarkStart w:id="202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02"/>
    <w:bookmarkStart w:id="204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04"/>
    <w:bookmarkStart w:id="206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06"/>
    <w:bookmarkStart w:id="208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07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08"/>
    <w:bookmarkStart w:id="210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10"/>
    <w:bookmarkStart w:id="212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12"/>
    <w:bookmarkStart w:id="214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14"/>
    <w:bookmarkStart w:id="216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16"/>
    <w:bookmarkStart w:id="218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18"/>
    <w:bookmarkStart w:id="219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19"/>
    <w:bookmarkStart w:id="221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21"/>
    <w:bookmarkEnd w:id="222"/>
    <w:bookmarkEnd w:id="223"/>
    <w:bookmarkEnd w:id="2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argument uses only that a garbling is post-processing of the</w:t>
      </w:r>
      <w:r>
        <w:t xml:space="preserve"> </w:t>
      </w:r>
      <w:r>
        <w:t xml:space="preserve">signal, available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fixed rule; it does not require optimality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For the</w:t>
      </w:r>
      <w:r>
        <w:t xml:space="preserve"> </w:t>
      </w:r>
      <w:r>
        <w:t xml:space="preserve">deterministic projection sources of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the garbled rule is admissible</w:t>
      </w:r>
      <w:r>
        <w:t xml:space="preserve"> </w:t>
      </w:r>
      <w:r>
        <w:t xml:space="preserve">without measure-theoretic subtlety, since the garbling is a measurable coordinate map.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1" Target="https://arxiv.org/abs/1402.4884" TargetMode="External" /><Relationship Type="http://schemas.openxmlformats.org/officeDocument/2006/relationships/hyperlink" Id="rId203" Target="https://arxiv.org/abs/2302.00093" TargetMode="External" /><Relationship Type="http://schemas.openxmlformats.org/officeDocument/2006/relationships/hyperlink" Id="rId213" Target="https://arxiv.org/abs/2302.05698" TargetMode="External" /><Relationship Type="http://schemas.openxmlformats.org/officeDocument/2006/relationships/hyperlink" Id="rId205" Target="https://arxiv.org/abs/2304.09542" TargetMode="External" /><Relationship Type="http://schemas.openxmlformats.org/officeDocument/2006/relationships/hyperlink" Id="rId191" Target="https://arxiv.org/abs/2307.03172" TargetMode="External" /><Relationship Type="http://schemas.openxmlformats.org/officeDocument/2006/relationships/hyperlink" Id="rId160" Target="https://arxiv.org/abs/2401.14887" TargetMode="External" /><Relationship Type="http://schemas.openxmlformats.org/officeDocument/2006/relationships/hyperlink" Id="rId209" Target="https://arxiv.org/abs/2402.11750" TargetMode="External" /><Relationship Type="http://schemas.openxmlformats.org/officeDocument/2006/relationships/hyperlink" Id="rId220" Target="https://arxiv.org/abs/2405.18253" TargetMode="External" /><Relationship Type="http://schemas.openxmlformats.org/officeDocument/2006/relationships/hyperlink" Id="rId215" Target="https://arxiv.org/abs/2407.02485" TargetMode="External" /><Relationship Type="http://schemas.openxmlformats.org/officeDocument/2006/relationships/hyperlink" Id="rId177" Target="https://arxiv.org/abs/2410.05983" TargetMode="External" /><Relationship Type="http://schemas.openxmlformats.org/officeDocument/2006/relationships/hyperlink" Id="rId211" Target="https://arxiv.org/abs/2410.07523" TargetMode="External" /><Relationship Type="http://schemas.openxmlformats.org/officeDocument/2006/relationships/hyperlink" Id="rId171" Target="https://arxiv.org/abs/2410.20247" TargetMode="External" /><Relationship Type="http://schemas.openxmlformats.org/officeDocument/2006/relationships/hyperlink" Id="rId193" Target="https://arxiv.org/abs/2411.00640" TargetMode="External" /><Relationship Type="http://schemas.openxmlformats.org/officeDocument/2006/relationships/hyperlink" Id="rId150" Target="https://arxiv.org/abs/2411.01533" TargetMode="External" /><Relationship Type="http://schemas.openxmlformats.org/officeDocument/2006/relationships/hyperlink" Id="rId179" Target="https://arxiv.org/abs/2411.06037" TargetMode="External" /><Relationship Type="http://schemas.openxmlformats.org/officeDocument/2006/relationships/hyperlink" Id="rId148" Target="https://arxiv.org/abs/2503.01747" TargetMode="External" /><Relationship Type="http://schemas.openxmlformats.org/officeDocument/2006/relationships/hyperlink" Id="rId187" Target="https://arxiv.org/abs/2503.04388" TargetMode="External" /><Relationship Type="http://schemas.openxmlformats.org/officeDocument/2006/relationships/hyperlink" Id="rId167" Target="https://arxiv.org/abs/2503.05491" TargetMode="External" /><Relationship Type="http://schemas.openxmlformats.org/officeDocument/2006/relationships/hyperlink" Id="rId185" Target="https://arxiv.org/abs/2504.07104" TargetMode="External" /><Relationship Type="http://schemas.openxmlformats.org/officeDocument/2006/relationships/hyperlink" Id="rId217" Target="https://arxiv.org/abs/2504.15630" TargetMode="External" /><Relationship Type="http://schemas.openxmlformats.org/officeDocument/2006/relationships/hyperlink" Id="rId154" Target="https://arxiv.org/abs/2507.03279" TargetMode="External" /><Relationship Type="http://schemas.openxmlformats.org/officeDocument/2006/relationships/hyperlink" Id="rId156" Target="https://arxiv.org/abs/2508.21184" TargetMode="External" /><Relationship Type="http://schemas.openxmlformats.org/officeDocument/2006/relationships/hyperlink" Id="rId175" Target="https://arxiv.org/abs/2510.00079" TargetMode="External" /><Relationship Type="http://schemas.openxmlformats.org/officeDocument/2006/relationships/hyperlink" Id="rId162" Target="https://arxiv.org/abs/2510.05381" TargetMode="External" /><Relationship Type="http://schemas.openxmlformats.org/officeDocument/2006/relationships/hyperlink" Id="rId143" Target="https://arxiv.org/abs/2512.23617" TargetMode="External" /><Relationship Type="http://schemas.openxmlformats.org/officeDocument/2006/relationships/hyperlink" Id="rId195" Target="https://arxiv.org/abs/2604.06621" TargetMode="External" /><Relationship Type="http://schemas.openxmlformats.org/officeDocument/2006/relationships/hyperlink" Id="rId197" Target="https://arxiv.org/abs/2605.03534" TargetMode="External" /><Relationship Type="http://schemas.openxmlformats.org/officeDocument/2006/relationships/hyperlink" Id="rId189" Target="https://arxiv.org/abs/2605.05716" TargetMode="External" /><Relationship Type="http://schemas.openxmlformats.org/officeDocument/2006/relationships/hyperlink" Id="rId183" Target="https://doi.org/10.1007/978-1-4612-4946-7" TargetMode="External" /><Relationship Type="http://schemas.openxmlformats.org/officeDocument/2006/relationships/hyperlink" Id="rId169" Target="https://doi.org/10.1007/s10791-008-9045-0" TargetMode="External" /><Relationship Type="http://schemas.openxmlformats.org/officeDocument/2006/relationships/hyperlink" Id="rId207" Target="https://doi.org/10.1017/CBO9780511666353" TargetMode="External" /><Relationship Type="http://schemas.openxmlformats.org/officeDocument/2006/relationships/hyperlink" Id="rId158" Target="https://doi.org/10.1093/biomet/26.4.404" TargetMode="External" /><Relationship Type="http://schemas.openxmlformats.org/officeDocument/2006/relationships/hyperlink" Id="rId199" Target="https://doi.org/10.1108/eb026647" TargetMode="External" /><Relationship Type="http://schemas.openxmlformats.org/officeDocument/2006/relationships/hyperlink" Id="rId152" Target="https://doi.org/10.1145/290941.291025" TargetMode="External" /><Relationship Type="http://schemas.openxmlformats.org/officeDocument/2006/relationships/hyperlink" Id="rId181" Target="https://doi.org/10.1214/aoms/1177700372" TargetMode="External" /><Relationship Type="http://schemas.openxmlformats.org/officeDocument/2006/relationships/hyperlink" Id="rId164" Target="https://doi.org/10.1214/aoms/1177728174" TargetMode="External" /><Relationship Type="http://schemas.openxmlformats.org/officeDocument/2006/relationships/hyperlink" Id="rId145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3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arxiv.org/abs/1402.4884" TargetMode="External" /><Relationship Type="http://schemas.openxmlformats.org/officeDocument/2006/relationships/hyperlink" Id="rId203" Target="https://arxiv.org/abs/2302.00093" TargetMode="External" /><Relationship Type="http://schemas.openxmlformats.org/officeDocument/2006/relationships/hyperlink" Id="rId213" Target="https://arxiv.org/abs/2302.05698" TargetMode="External" /><Relationship Type="http://schemas.openxmlformats.org/officeDocument/2006/relationships/hyperlink" Id="rId205" Target="https://arxiv.org/abs/2304.09542" TargetMode="External" /><Relationship Type="http://schemas.openxmlformats.org/officeDocument/2006/relationships/hyperlink" Id="rId191" Target="https://arxiv.org/abs/2307.03172" TargetMode="External" /><Relationship Type="http://schemas.openxmlformats.org/officeDocument/2006/relationships/hyperlink" Id="rId160" Target="https://arxiv.org/abs/2401.14887" TargetMode="External" /><Relationship Type="http://schemas.openxmlformats.org/officeDocument/2006/relationships/hyperlink" Id="rId209" Target="https://arxiv.org/abs/2402.11750" TargetMode="External" /><Relationship Type="http://schemas.openxmlformats.org/officeDocument/2006/relationships/hyperlink" Id="rId220" Target="https://arxiv.org/abs/2405.18253" TargetMode="External" /><Relationship Type="http://schemas.openxmlformats.org/officeDocument/2006/relationships/hyperlink" Id="rId215" Target="https://arxiv.org/abs/2407.02485" TargetMode="External" /><Relationship Type="http://schemas.openxmlformats.org/officeDocument/2006/relationships/hyperlink" Id="rId177" Target="https://arxiv.org/abs/2410.05983" TargetMode="External" /><Relationship Type="http://schemas.openxmlformats.org/officeDocument/2006/relationships/hyperlink" Id="rId211" Target="https://arxiv.org/abs/2410.07523" TargetMode="External" /><Relationship Type="http://schemas.openxmlformats.org/officeDocument/2006/relationships/hyperlink" Id="rId171" Target="https://arxiv.org/abs/2410.20247" TargetMode="External" /><Relationship Type="http://schemas.openxmlformats.org/officeDocument/2006/relationships/hyperlink" Id="rId193" Target="https://arxiv.org/abs/2411.00640" TargetMode="External" /><Relationship Type="http://schemas.openxmlformats.org/officeDocument/2006/relationships/hyperlink" Id="rId150" Target="https://arxiv.org/abs/2411.01533" TargetMode="External" /><Relationship Type="http://schemas.openxmlformats.org/officeDocument/2006/relationships/hyperlink" Id="rId179" Target="https://arxiv.org/abs/2411.06037" TargetMode="External" /><Relationship Type="http://schemas.openxmlformats.org/officeDocument/2006/relationships/hyperlink" Id="rId148" Target="https://arxiv.org/abs/2503.01747" TargetMode="External" /><Relationship Type="http://schemas.openxmlformats.org/officeDocument/2006/relationships/hyperlink" Id="rId187" Target="https://arxiv.org/abs/2503.04388" TargetMode="External" /><Relationship Type="http://schemas.openxmlformats.org/officeDocument/2006/relationships/hyperlink" Id="rId167" Target="https://arxiv.org/abs/2503.05491" TargetMode="External" /><Relationship Type="http://schemas.openxmlformats.org/officeDocument/2006/relationships/hyperlink" Id="rId185" Target="https://arxiv.org/abs/2504.07104" TargetMode="External" /><Relationship Type="http://schemas.openxmlformats.org/officeDocument/2006/relationships/hyperlink" Id="rId217" Target="https://arxiv.org/abs/2504.15630" TargetMode="External" /><Relationship Type="http://schemas.openxmlformats.org/officeDocument/2006/relationships/hyperlink" Id="rId154" Target="https://arxiv.org/abs/2507.03279" TargetMode="External" /><Relationship Type="http://schemas.openxmlformats.org/officeDocument/2006/relationships/hyperlink" Id="rId156" Target="https://arxiv.org/abs/2508.21184" TargetMode="External" /><Relationship Type="http://schemas.openxmlformats.org/officeDocument/2006/relationships/hyperlink" Id="rId175" Target="https://arxiv.org/abs/2510.00079" TargetMode="External" /><Relationship Type="http://schemas.openxmlformats.org/officeDocument/2006/relationships/hyperlink" Id="rId162" Target="https://arxiv.org/abs/2510.05381" TargetMode="External" /><Relationship Type="http://schemas.openxmlformats.org/officeDocument/2006/relationships/hyperlink" Id="rId143" Target="https://arxiv.org/abs/2512.23617" TargetMode="External" /><Relationship Type="http://schemas.openxmlformats.org/officeDocument/2006/relationships/hyperlink" Id="rId195" Target="https://arxiv.org/abs/2604.06621" TargetMode="External" /><Relationship Type="http://schemas.openxmlformats.org/officeDocument/2006/relationships/hyperlink" Id="rId197" Target="https://arxiv.org/abs/2605.03534" TargetMode="External" /><Relationship Type="http://schemas.openxmlformats.org/officeDocument/2006/relationships/hyperlink" Id="rId189" Target="https://arxiv.org/abs/2605.05716" TargetMode="External" /><Relationship Type="http://schemas.openxmlformats.org/officeDocument/2006/relationships/hyperlink" Id="rId183" Target="https://doi.org/10.1007/978-1-4612-4946-7" TargetMode="External" /><Relationship Type="http://schemas.openxmlformats.org/officeDocument/2006/relationships/hyperlink" Id="rId169" Target="https://doi.org/10.1007/s10791-008-9045-0" TargetMode="External" /><Relationship Type="http://schemas.openxmlformats.org/officeDocument/2006/relationships/hyperlink" Id="rId207" Target="https://doi.org/10.1017/CBO9780511666353" TargetMode="External" /><Relationship Type="http://schemas.openxmlformats.org/officeDocument/2006/relationships/hyperlink" Id="rId158" Target="https://doi.org/10.1093/biomet/26.4.404" TargetMode="External" /><Relationship Type="http://schemas.openxmlformats.org/officeDocument/2006/relationships/hyperlink" Id="rId199" Target="https://doi.org/10.1108/eb026647" TargetMode="External" /><Relationship Type="http://schemas.openxmlformats.org/officeDocument/2006/relationships/hyperlink" Id="rId152" Target="https://doi.org/10.1145/290941.291025" TargetMode="External" /><Relationship Type="http://schemas.openxmlformats.org/officeDocument/2006/relationships/hyperlink" Id="rId181" Target="https://doi.org/10.1214/aoms/1177700372" TargetMode="External" /><Relationship Type="http://schemas.openxmlformats.org/officeDocument/2006/relationships/hyperlink" Id="rId164" Target="https://doi.org/10.1214/aoms/1177728174" TargetMode="External" /><Relationship Type="http://schemas.openxmlformats.org/officeDocument/2006/relationships/hyperlink" Id="rId145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3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Is a Partial Order: A Blackwell Framework and Certified LLM Evidence</dc:title>
  <dc:creator>Andriy Bilous Department of Information Systems and Networks Lviv Polytechnic National University, Lviv, Ukraine ORCID: 0009-0006-5467-7932 andriy.bilous@uitware.com; Oleksandr Reminnyi Department of Computerized Automatic Systems Lviv Polytechnic National University, Lviv, Ukraine ORCID: 0009-0005-5119-3695</dc:creator>
  <cp:keywords/>
  <dcterms:created xsi:type="dcterms:W3CDTF">2026-07-06T09:39:13Z</dcterms:created>
  <dcterms:modified xsi:type="dcterms:W3CDTF">2026-07-06T09:39:13Z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Context selection for language models is almost universally posed as a scalar ranking problem: score each candidate source, take the top-k. We argue this collapses a partial order. Modeling each context source as a statistical experiment on the task’s latent requirement, we transport Blackwell’s comparison of experiments (Blackwell 1953) to context selection: when two sources are Blackwell-incomparable, no query-independent scalar can rank them correctly across all tasks, a formal account of the field’s “relevance-does-not-transfer” folklore. To make the order measurable on real models behind executable verifiers, we define a decision-restricted deficiency surrogate and equip it with a distribution-free finite-sample certificate. On six language models across four vendors we certify (\geq 90\% confidence, both directions) that two private context sources are empirically incomparable. Representative lexical, dense bi-encoder, and cross-encoder rankers all prefer the wrong source on a confound-controlled trap, while an LLM listwise reranker that reads the decisive content escapes, the topicality boundary the theory predicts. We also show that supplying a strict superset of a sufficient source collapses certified pass rates from 100\% to as low as 0\%, with order, length-padding, and routing-instruction controls attributing the harm to the added signal, not position or length. The conclusion is methodological: context selection is a partial-order problem, and the right operational object is a certified deficiency surrogate, not a scalar. The constructive selection rule this implies is developed in a companion paper; scaling certified selection to corpus retrieval is the central problem we leave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  <property fmtid="{D5CDD505-2E9C-101B-9397-08002B2CF9AE}" pid="5" name="link-citations">
    <vt:lpwstr>True</vt:lpwstr>
  </property>
</Properties>
</file>