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br/>
      </w:r>
      <m:oMath>
        <m:sSup>
          <m:e>
            <m:r>
              <m:t>​</m:t>
            </m:r>
          </m:e>
          <m:sup>
            <m:r>
              <m:t>1</m:t>
            </m:r>
          </m:sup>
        </m:sSup>
      </m:oMath>
      <w:r>
        <w:t xml:space="preserve"> Department of Information Systems and Networks, Lviv Polytechnic National University,</w:t>
      </w:r>
      <w:r>
        <w:br/>
      </w:r>
      <w:r>
        <w:t xml:space="preserve">S. Bandery St. 12, 79013 Lviv, Ukraine;</w:t>
      </w:r>
      <w:r>
        <w:t xml:space="preserve"> </w:t>
      </w:r>
      <w:r>
        <w:rPr>
          <w:rStyle w:val="VerbatimChar"/>
        </w:rPr>
        <w:t xml:space="preserve">andriy.bilous@uitware.com</w:t>
      </w:r>
      <w:r>
        <w:br/>
      </w:r>
      <w:r>
        <w:t xml:space="preserve">ORCID: 0009-0006-5467-7932</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Choosing what to put in a language model’s prompt is usually done by scoring each candidate source</w:t>
      </w:r>
      <w:r>
        <w:t xml:space="preserve"> </w:t>
      </w:r>
      <w:r>
        <w:t xml:space="preserve">with one number 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a</w:t>
      </w:r>
      <w:r>
        <w:t xml:space="preserve"> </w:t>
      </w:r>
      <w:r>
        <w:t xml:space="preserve">distribution-free</w:t>
      </w:r>
      <w:r>
        <w:t xml:space="preserve"> </w:t>
      </w:r>
      <w:r>
        <w:rPr>
          <w:i/>
          <w:iCs/>
        </w:rPr>
        <w:t xml:space="preserve">verification</w:t>
      </w:r>
      <w:r>
        <w:t xml:space="preserve">. On six models from four vendors we verify (</w:t>
      </w:r>
      <m:oMath>
        <m:r>
          <m:rPr>
            <m:sty m:val="p"/>
          </m:rPr>
          <m:t>≥</m:t>
        </m:r>
        <m:r>
          <m:t>90</m:t>
        </m:r>
        <m:r>
          <m:rPr>
            <m:sty m:val="p"/>
          </m:rPr>
          <m:t>%</m:t>
        </m:r>
      </m:oMath>
      <w:r>
        <w:t xml:space="preserve"> </w:t>
      </w:r>
      <w:r>
        <w:t xml:space="preserve">confidence, both directions) that two hand-built sources are incomparable. On a designed trap, a</w:t>
      </w:r>
      <w:r>
        <w:t xml:space="preserve"> </w:t>
      </w:r>
      <w:r>
        <w:t xml:space="preserve">lexical score, two dense retrievers and a cross-encoder all prefer the wrong source, while a</w:t>
      </w:r>
      <w:r>
        <w:t xml:space="preserve"> </w:t>
      </w:r>
      <w:r>
        <w:t xml:space="preserve">listwise LLM reranker that reads the deciding detail gets it right, as the theory predicts. Adding</w:t>
      </w:r>
      <w:r>
        <w:t xml:space="preserve"> </w:t>
      </w:r>
      <w:r>
        <w:t xml:space="preserve">a larger source can also hurt: pass rates fall from</w:t>
      </w:r>
      <w:r>
        <w:t xml:space="preserve"> </w:t>
      </w:r>
      <m:oMath>
        <m:r>
          <m:t>100</m:t>
        </m:r>
        <m:r>
          <m:rPr>
            <m:sty m:val="p"/>
          </m:rPr>
          <m:t>%</m:t>
        </m:r>
      </m:oMath>
      <w:r>
        <w:t xml:space="preserve"> </w:t>
      </w:r>
      <w:r>
        <w:t xml:space="preserve">to</w:t>
      </w:r>
      <w:r>
        <w:t xml:space="preserve"> </w:t>
      </w:r>
      <m:oMath>
        <m:r>
          <m:t>0</m:t>
        </m:r>
        <m:r>
          <m:rPr>
            <m:sty m:val="p"/>
          </m:rPr>
          <m:t>%</m:t>
        </m:r>
      </m:oMath>
      <w:r>
        <w:t xml:space="preserve"> </w:t>
      </w:r>
      <w:r>
        <w:t xml:space="preserve">on eleven of twelve cells,</w:t>
      </w:r>
      <w:r>
        <w:t xml:space="preserve"> </w:t>
      </w:r>
      <w:r>
        <w:t xml:space="preserve">with controls ruling out length and position. The lesson is practical: treat context</w:t>
      </w:r>
      <w:r>
        <w:t xml:space="preserve"> </w:t>
      </w:r>
      <w:r>
        <w:t xml:space="preserve">selection as a partial order and compare sources by a verified pass-rate test, not a relevance</w:t>
      </w:r>
      <w:r>
        <w:t xml:space="preserve"> </w:t>
      </w:r>
      <w:r>
        <w:t xml:space="preserve">number. Scaling the implied selection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 and machine-checked in Lean 4</w:t>
      </w:r>
      <w:r>
        <w:t xml:space="preserve"> </w:t>
      </w:r>
      <w:r>
        <w:t xml:space="preserve">(Remark 3);</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7),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7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7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7 in Appendix B, so each verification can be reconstructed from the reported counts.</w:t>
      </w:r>
    </w:p>
    <w:bookmarkEnd w:id="97"/>
    <w:bookmarkEnd w:id="98"/>
    <w:bookmarkEnd w:id="99"/>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0"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7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0"/>
    <w:bookmarkEnd w:id="101"/>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7);</w:t>
      </w:r>
      <w:r>
        <w:t xml:space="preserve"> </w:t>
      </w:r>
      <w:r>
        <w:t xml:space="preserve">Table 6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2" w:name="tab:policies"/>
    <w:p>
      <w:pPr>
        <w:pStyle w:val="TableCaption"/>
      </w:pPr>
      <w:r>
        <w:t xml:space="preserve">Mean PASS (%) over the four verified cells under four selection policies, per model,</w:t>
      </w:r>
      <w:r>
        <w:t xml:space="preserve"> </w:t>
      </w:r>
      <w:r>
        <w:t xml:space="preserve">computed from the measured per-cell rates of Table 7.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7.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2"/>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6).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09"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09"/>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methodology, A.B.; software, A.B.; validation, A.B.; formal analysis,</w:t>
      </w:r>
      <w:r>
        <w:t xml:space="preserve"> </w:t>
      </w:r>
      <w:r>
        <w:t xml:space="preserve">A.B.; investigation, A.B.; data curation, A.B.; writing—original draft preparation, A.B.;</w:t>
      </w:r>
      <w:r>
        <w:t xml:space="preserve"> </w:t>
      </w:r>
      <w:r>
        <w:t xml:space="preserve">writing—review and editing, A.B.; visualization, A.B. The author has read and agreed to the</w:t>
      </w:r>
      <w:r>
        <w:t xml:space="preserve"> </w:t>
      </w:r>
      <w:r>
        <w:t xml:space="preserve">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26"/>
    <w:bookmarkStart w:id="127" w:name="conflicts-of-interest"/>
    <w:p>
      <w:pPr>
        <w:pStyle w:val="Heading1"/>
      </w:pPr>
      <w:r>
        <w:t xml:space="preserve">Conflicts of Interest</w:t>
      </w:r>
    </w:p>
    <w:p>
      <w:pPr>
        <w:pStyle w:val="FirstParagraph"/>
      </w:pPr>
      <w:r>
        <w:t xml:space="preserve">The author declares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1"/>
    <w:bookmarkStart w:id="13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2"/>
    <w:bookmarkStart w:id="13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3"/>
    <w:bookmarkStart w:id="13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4"/>
    <w:bookmarkStart w:id="136" w:name="why-a-naive-dkw-bound-fails"/>
    <w:p>
      <w:pPr>
        <w:pStyle w:val="Heading2"/>
      </w:pPr>
      <w:r>
        <w:t xml:space="preserve">Why a naive DKW bound fails</w:t>
      </w:r>
    </w:p>
    <w:bookmarkStart w:id="135"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5"/>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7" w:name="app:record"/>
    <w:p>
      <w:pPr>
        <w:pStyle w:val="Heading1"/>
      </w:pPr>
      <w:r>
        <w:t xml:space="preserve">Extended experimental record</w:t>
      </w:r>
    </w:p>
    <w:bookmarkStart w:id="14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1"/>
    <w:bookmarkStart w:id="14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2"/>
    <w:bookmarkStart w:id="14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3"/>
    <w:bookmarkStart w:id="14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4"/>
    <w:bookmarkStart w:id="14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5"/>
    <w:bookmarkEnd w:id="146"/>
    <w:bookmarkEnd w:id="147"/>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8"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8"/>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1"/>
    <w:bookmarkStart w:id="152"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2"/>
    <w:bookmarkStart w:id="28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2">
        <w:r>
          <w:rPr>
            <w:rStyle w:val="Hyperlink"/>
          </w:rPr>
          <w:t xml:space="preserve">https://doi.org/10.1214/aoms/1177729032</w:t>
        </w:r>
      </w:hyperlink>
      <w:r>
        <w:t xml:space="preserve">.</w:t>
      </w:r>
    </w:p>
    <w:bookmarkEnd w:id="163"/>
    <w:bookmarkStart w:id="16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4"/>
    <w:bookmarkStart w:id="16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5">
        <w:r>
          <w:rPr>
            <w:rStyle w:val="Hyperlink"/>
          </w:rPr>
          <w:t xml:space="preserve">https://arxiv.org/abs/2503.01747</w:t>
        </w:r>
      </w:hyperlink>
      <w:r>
        <w:t xml:space="preserve">.</w:t>
      </w:r>
    </w:p>
    <w:bookmarkEnd w:id="166"/>
    <w:bookmarkStart w:id="16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7">
        <w:r>
          <w:rPr>
            <w:rStyle w:val="Hyperlink"/>
          </w:rPr>
          <w:t xml:space="preserve">https://arxiv.org/abs/2411.01533</w:t>
        </w:r>
      </w:hyperlink>
      <w:r>
        <w:t xml:space="preserve">.</w:t>
      </w:r>
    </w:p>
    <w:bookmarkEnd w:id="168"/>
    <w:bookmarkStart w:id="17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9">
        <w:r>
          <w:rPr>
            <w:rStyle w:val="Hyperlink"/>
          </w:rPr>
          <w:t xml:space="preserve">https://doi.org/10.1145/290941.291025</w:t>
        </w:r>
      </w:hyperlink>
      <w:r>
        <w:t xml:space="preserve">.</w:t>
      </w:r>
    </w:p>
    <w:bookmarkEnd w:id="170"/>
    <w:bookmarkStart w:id="172"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1">
        <w:r>
          <w:rPr>
            <w:rStyle w:val="Hyperlink"/>
          </w:rPr>
          <w:t xml:space="preserve">https://arxiv.org/abs/2511.17908</w:t>
        </w:r>
      </w:hyperlink>
      <w:r>
        <w:t xml:space="preserve">.</w:t>
      </w:r>
    </w:p>
    <w:bookmarkEnd w:id="172"/>
    <w:bookmarkStart w:id="17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3">
        <w:r>
          <w:rPr>
            <w:rStyle w:val="Hyperlink"/>
          </w:rPr>
          <w:t xml:space="preserve">https://arxiv.org/abs/2507.03279</w:t>
        </w:r>
      </w:hyperlink>
      <w:r>
        <w:t xml:space="preserve">.</w:t>
      </w:r>
    </w:p>
    <w:bookmarkEnd w:id="174"/>
    <w:bookmarkStart w:id="176"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5">
        <w:r>
          <w:rPr>
            <w:rStyle w:val="Hyperlink"/>
          </w:rPr>
          <w:t xml:space="preserve">https://arxiv.org/abs/2601.16478</w:t>
        </w:r>
      </w:hyperlink>
      <w:r>
        <w:t xml:space="preserve">.</w:t>
      </w:r>
    </w:p>
    <w:bookmarkEnd w:id="176"/>
    <w:bookmarkStart w:id="178"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7">
        <w:r>
          <w:rPr>
            <w:rStyle w:val="Hyperlink"/>
          </w:rPr>
          <w:t xml:space="preserve">https://arxiv.org/abs/2508.21184</w:t>
        </w:r>
      </w:hyperlink>
      <w:r>
        <w:t xml:space="preserve">.</w:t>
      </w:r>
    </w:p>
    <w:bookmarkEnd w:id="178"/>
    <w:bookmarkStart w:id="180"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9">
        <w:r>
          <w:rPr>
            <w:rStyle w:val="Hyperlink"/>
          </w:rPr>
          <w:t xml:space="preserve">https://doi.org/10.1093/biomet/26.4.404</w:t>
        </w:r>
      </w:hyperlink>
      <w:r>
        <w:t xml:space="preserve">.</w:t>
      </w:r>
    </w:p>
    <w:bookmarkEnd w:id="180"/>
    <w:bookmarkStart w:id="182"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1">
        <w:r>
          <w:rPr>
            <w:rStyle w:val="Hyperlink"/>
          </w:rPr>
          <w:t xml:space="preserve">https://arxiv.org/abs/2401.14887</w:t>
        </w:r>
      </w:hyperlink>
      <w:r>
        <w:t xml:space="preserve">.</w:t>
      </w:r>
    </w:p>
    <w:bookmarkEnd w:id="182"/>
    <w:bookmarkStart w:id="184"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3">
        <w:r>
          <w:rPr>
            <w:rStyle w:val="Hyperlink"/>
          </w:rPr>
          <w:t xml:space="preserve">https://arxiv.org/abs/2503.01478</w:t>
        </w:r>
      </w:hyperlink>
      <w:r>
        <w:t xml:space="preserve">.</w:t>
      </w:r>
    </w:p>
    <w:bookmarkEnd w:id="184"/>
    <w:bookmarkStart w:id="186"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5">
        <w:r>
          <w:rPr>
            <w:rStyle w:val="Hyperlink"/>
          </w:rPr>
          <w:t xml:space="preserve">http://www.vldb.org/pvldb/vol6/p37-dong.pdf</w:t>
        </w:r>
      </w:hyperlink>
      <w:r>
        <w:t xml:space="preserve">.</w:t>
      </w:r>
    </w:p>
    <w:bookmarkEnd w:id="186"/>
    <w:bookmarkStart w:id="188"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7">
        <w:r>
          <w:rPr>
            <w:rStyle w:val="Hyperlink"/>
          </w:rPr>
          <w:t xml:space="preserve">https://arxiv.org/abs/2510.05381</w:t>
        </w:r>
      </w:hyperlink>
      <w:r>
        <w:t xml:space="preserve">.</w:t>
      </w:r>
    </w:p>
    <w:bookmarkEnd w:id="188"/>
    <w:bookmarkStart w:id="190"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9">
        <w:r>
          <w:rPr>
            <w:rStyle w:val="Hyperlink"/>
          </w:rPr>
          <w:t xml:space="preserve">https://doi.org/10.1214/aoms/1177728174</w:t>
        </w:r>
      </w:hyperlink>
      <w:r>
        <w:t xml:space="preserve">.</w:t>
      </w:r>
    </w:p>
    <w:bookmarkEnd w:id="190"/>
    <w:bookmarkStart w:id="191"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1"/>
    <w:bookmarkStart w:id="193"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2">
        <w:r>
          <w:rPr>
            <w:rStyle w:val="Hyperlink"/>
          </w:rPr>
          <w:t xml:space="preserve">https://arxiv.org/abs/2601.11273</w:t>
        </w:r>
      </w:hyperlink>
      <w:r>
        <w:t xml:space="preserve">.</w:t>
      </w:r>
    </w:p>
    <w:bookmarkEnd w:id="193"/>
    <w:bookmarkStart w:id="19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4">
        <w:r>
          <w:rPr>
            <w:rStyle w:val="Hyperlink"/>
          </w:rPr>
          <w:t xml:space="preserve">https://arxiv.org/abs/2503.05491</w:t>
        </w:r>
      </w:hyperlink>
      <w:r>
        <w:t xml:space="preserve">.</w:t>
      </w:r>
    </w:p>
    <w:bookmarkEnd w:id="195"/>
    <w:bookmarkStart w:id="197"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6">
        <w:r>
          <w:rPr>
            <w:rStyle w:val="Hyperlink"/>
          </w:rPr>
          <w:t xml:space="preserve">https://arxiv.org/abs/2608.26762</w:t>
        </w:r>
      </w:hyperlink>
      <w:r>
        <w:t xml:space="preserve">.</w:t>
      </w:r>
    </w:p>
    <w:bookmarkEnd w:id="197"/>
    <w:bookmarkStart w:id="19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8">
        <w:r>
          <w:rPr>
            <w:rStyle w:val="Hyperlink"/>
          </w:rPr>
          <w:t xml:space="preserve">https://doi.org/10.1007/s10791-008-9045-0</w:t>
        </w:r>
      </w:hyperlink>
      <w:r>
        <w:t xml:space="preserve">.</w:t>
      </w:r>
    </w:p>
    <w:bookmarkEnd w:id="199"/>
    <w:bookmarkStart w:id="20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0">
        <w:r>
          <w:rPr>
            <w:rStyle w:val="Hyperlink"/>
          </w:rPr>
          <w:t xml:space="preserve">https://arxiv.org/abs/2410.20247</w:t>
        </w:r>
      </w:hyperlink>
      <w:r>
        <w:t xml:space="preserve">.</w:t>
      </w:r>
    </w:p>
    <w:bookmarkEnd w:id="201"/>
    <w:bookmarkStart w:id="203"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2">
        <w:r>
          <w:rPr>
            <w:rStyle w:val="Hyperlink"/>
          </w:rPr>
          <w:t xml:space="preserve">https://arxiv.org/abs/2606.20047</w:t>
        </w:r>
      </w:hyperlink>
      <w:r>
        <w:t xml:space="preserve">.</w:t>
      </w:r>
    </w:p>
    <w:bookmarkEnd w:id="203"/>
    <w:bookmarkStart w:id="205"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4">
        <w:r>
          <w:rPr>
            <w:rStyle w:val="Hyperlink"/>
          </w:rPr>
          <w:t xml:space="preserve">https://aclanthology.org/2026.findings-acl.583/</w:t>
        </w:r>
      </w:hyperlink>
      <w:r>
        <w:t xml:space="preserve">.</w:t>
      </w:r>
    </w:p>
    <w:bookmarkEnd w:id="205"/>
    <w:bookmarkStart w:id="207"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6">
        <w:r>
          <w:rPr>
            <w:rStyle w:val="Hyperlink"/>
          </w:rPr>
          <w:t xml:space="preserve">https://arxiv.org/abs/2002.08909</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8">
        <w:r>
          <w:rPr>
            <w:rStyle w:val="Hyperlink"/>
          </w:rPr>
          <w:t xml:space="preserve">https://arxiv.org/abs/2502.17036</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4">
        <w:r>
          <w:rPr>
            <w:rStyle w:val="Hyperlink"/>
          </w:rPr>
          <w:t xml:space="preserve">https://doi.org/10.1145/3397271.3401075</w:t>
        </w:r>
      </w:hyperlink>
      <w:r>
        <w:t xml:space="preserve">.</w:t>
      </w:r>
    </w:p>
    <w:bookmarkEnd w:id="225"/>
    <w:bookmarkStart w:id="227"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6">
        <w:r>
          <w:rPr>
            <w:rStyle w:val="Hyperlink"/>
          </w:rPr>
          <w:t xml:space="preserve">https://doi.org/10.1214/aoms/1177700372</w:t>
        </w:r>
      </w:hyperlink>
      <w:r>
        <w:t xml:space="preserve">.</w:t>
      </w:r>
    </w:p>
    <w:bookmarkEnd w:id="227"/>
    <w:bookmarkStart w:id="229"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8">
        <w:r>
          <w:rPr>
            <w:rStyle w:val="Hyperlink"/>
          </w:rPr>
          <w:t xml:space="preserve">https://doi.org/10.1007/978-1-4612-4946-7</w:t>
        </w:r>
      </w:hyperlink>
      <w:r>
        <w:t xml:space="preserve">.</w:t>
      </w:r>
    </w:p>
    <w:bookmarkEnd w:id="229"/>
    <w:bookmarkStart w:id="231"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0">
        <w:r>
          <w:rPr>
            <w:rStyle w:val="Hyperlink"/>
          </w:rPr>
          <w:t xml:space="preserve">https://arxiv.org/abs/2504.07104</w:t>
        </w:r>
      </w:hyperlink>
      <w:r>
        <w:t xml:space="preserve">.</w:t>
      </w:r>
    </w:p>
    <w:bookmarkEnd w:id="231"/>
    <w:bookmarkStart w:id="233"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2">
        <w:r>
          <w:rPr>
            <w:rStyle w:val="Hyperlink"/>
          </w:rPr>
          <w:t xml:space="preserve">https://arxiv.org/abs/2503.04388</w:t>
        </w:r>
      </w:hyperlink>
      <w:r>
        <w:t xml:space="preserve">.</w:t>
      </w:r>
    </w:p>
    <w:bookmarkEnd w:id="233"/>
    <w:bookmarkStart w:id="235"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4">
        <w:r>
          <w:rPr>
            <w:rStyle w:val="Hyperlink"/>
          </w:rPr>
          <w:t xml:space="preserve">https://arxiv.org/abs/2605.05716</w:t>
        </w:r>
      </w:hyperlink>
      <w:r>
        <w:t xml:space="preserve">.</w:t>
      </w:r>
    </w:p>
    <w:bookmarkEnd w:id="235"/>
    <w:bookmarkStart w:id="237"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6">
        <w:r>
          <w:rPr>
            <w:rStyle w:val="Hyperlink"/>
          </w:rPr>
          <w:t xml:space="preserve">https://arxiv.org/abs/2307.03172</w:t>
        </w:r>
      </w:hyperlink>
      <w:r>
        <w:t xml:space="preserve">.</w:t>
      </w:r>
    </w:p>
    <w:bookmarkEnd w:id="237"/>
    <w:bookmarkStart w:id="239"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8">
        <w:r>
          <w:rPr>
            <w:rStyle w:val="Hyperlink"/>
          </w:rPr>
          <w:t xml:space="preserve">https://arxiv.org/abs/2411.00640</w:t>
        </w:r>
      </w:hyperlink>
      <w:r>
        <w:t xml:space="preserve">.</w:t>
      </w:r>
    </w:p>
    <w:bookmarkEnd w:id="239"/>
    <w:bookmarkStart w:id="241"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0">
        <w:r>
          <w:rPr>
            <w:rStyle w:val="Hyperlink"/>
          </w:rPr>
          <w:t xml:space="preserve">https://doi.org/10.1007/978-3-032-19099-4_23</w:t>
        </w:r>
      </w:hyperlink>
      <w:r>
        <w:t xml:space="preserve">.</w:t>
      </w:r>
    </w:p>
    <w:bookmarkEnd w:id="241"/>
    <w:bookmarkStart w:id="24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2">
        <w:r>
          <w:rPr>
            <w:rStyle w:val="Hyperlink"/>
          </w:rPr>
          <w:t xml:space="preserve">https://arxiv.org/abs/2604.06621</w:t>
        </w:r>
      </w:hyperlink>
      <w:r>
        <w:t xml:space="preserve">.</w:t>
      </w:r>
    </w:p>
    <w:bookmarkEnd w:id="243"/>
    <w:bookmarkStart w:id="24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4">
        <w:r>
          <w:rPr>
            <w:rStyle w:val="Hyperlink"/>
          </w:rPr>
          <w:t xml:space="preserve">https://arxiv.org/abs/2605.03534</w:t>
        </w:r>
      </w:hyperlink>
      <w:r>
        <w:t xml:space="preserve">.</w:t>
      </w:r>
    </w:p>
    <w:bookmarkEnd w:id="245"/>
    <w:bookmarkStart w:id="24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6">
        <w:r>
          <w:rPr>
            <w:rStyle w:val="Hyperlink"/>
          </w:rPr>
          <w:t xml:space="preserve">https://doi.org/10.1108/eb026647</w:t>
        </w:r>
      </w:hyperlink>
      <w:r>
        <w:t xml:space="preserve">.</w:t>
      </w:r>
    </w:p>
    <w:bookmarkEnd w:id="247"/>
    <w:bookmarkStart w:id="24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8">
        <w:r>
          <w:rPr>
            <w:rStyle w:val="Hyperlink"/>
          </w:rPr>
          <w:t xml:space="preserve">https://arxiv.org/abs/1402.4884</w:t>
        </w:r>
      </w:hyperlink>
      <w:r>
        <w:t xml:space="preserve">.</w:t>
      </w:r>
    </w:p>
    <w:bookmarkEnd w:id="249"/>
    <w:bookmarkStart w:id="25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0">
        <w:r>
          <w:rPr>
            <w:rStyle w:val="Hyperlink"/>
          </w:rPr>
          <w:t xml:space="preserve">https://arxiv.org/abs/2302.00093</w:t>
        </w:r>
      </w:hyperlink>
      <w:r>
        <w:t xml:space="preserve">.</w:t>
      </w:r>
    </w:p>
    <w:bookmarkEnd w:id="251"/>
    <w:bookmarkStart w:id="253"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2">
        <w:r>
          <w:rPr>
            <w:rStyle w:val="Hyperlink"/>
          </w:rPr>
          <w:t xml:space="preserve">https://arxiv.org/abs/2301.12652</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^{1} Department of Information Systems and Networks, Lviv Polytechnic National University, S. Bandery St. 12, 79013 Lviv, Ukraine; andriy.bilous@uitware.com ORCID: 0009-0006-5467-7932 ^{\ast} Correspondence: andriy.bilous@uitware.com</dc:creator>
  <cp:keywords/>
  <dcterms:created xsi:type="dcterms:W3CDTF">2026-09-08T09:17:18Z</dcterms:created>
  <dcterms:modified xsi:type="dcterms:W3CDTF">2026-09-08T09:17:18Z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usually done by scoring each candidate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a distribution-free verification. On six models from four vendors we verify (\geq 90\% confidence, both directions) that two hand-built sources are incomparable. On a designed trap, a lexical score, two dense retrievers and a cross-encoder all prefer the wrong source, while a listwise LLM reranker that reads the deciding detail gets it right, as the theory predicts. Adding a larger source can also hurt: pass rates fall from 100\% to 0\% on eleven of twelve cells, with controls ruling out length and position. The lesson is practical: treat context selection as a partial order and compare sources by a verified pass-rate test, not a relevance number. Scaling the implied selection rule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