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selection as a partial order:</w:t>
      </w:r>
      <w:r>
        <w:br/>
      </w:r>
      <w:r>
        <w:t xml:space="preserve">A Blackwell framework and verified LLM evidence</w:t>
      </w:r>
    </w:p>
    <w:p>
      <w:pPr>
        <w:pStyle w:val="Author"/>
      </w:pPr>
      <w:r>
        <w:t xml:space="preserve">Andriy Bilous 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Vasyl Lytvyn 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,</w:t>
      </w:r>
      <w:r>
        <w:br/>
      </w:r>
      <w:r>
        <w:t xml:space="preserve">Petro Pukach 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Zoriana Rybchak 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 Department of Information Systems and Networks,</w:t>
      </w:r>
      <w:r>
        <w:br/>
      </w:r>
      <w:r>
        <w:t xml:space="preserve">Institute of Computer Science and Information Technologies,</w:t>
      </w:r>
      <w:r>
        <w:br/>
      </w:r>
      <w:r>
        <w:t xml:space="preserve">Lviv Polytechnic National University, S. Bandery St. 12, 79013 Lviv, Ukraine;</w:t>
      </w:r>
      <w:r>
        <w:br/>
      </w:r>
      <w:r>
        <w:rPr>
          <w:rStyle w:val="VerbatimChar"/>
        </w:rPr>
        <w:t xml:space="preserve">andriy.bilous@uitware.com</w:t>
      </w:r>
      <w:r>
        <w:t xml:space="preserve"> </w:t>
      </w:r>
      <w:r>
        <w:t xml:space="preserve">(A.B.);</w:t>
      </w:r>
      <w:r>
        <w:t xml:space="preserve"> </w:t>
      </w:r>
      <w:r>
        <w:rPr>
          <w:rStyle w:val="VerbatimChar"/>
        </w:rPr>
        <w:t xml:space="preserve">vasyl.v.lytvyn@lpnu.ua</w:t>
      </w:r>
      <w:r>
        <w:t xml:space="preserve"> </w:t>
      </w:r>
      <w:r>
        <w:t xml:space="preserve">(V.L.);</w:t>
      </w:r>
      <w:r>
        <w:br/>
      </w:r>
      <w:r>
        <w:rPr>
          <w:rStyle w:val="VerbatimChar"/>
        </w:rPr>
        <w:t xml:space="preserve">zoriana.l.rybchak@lpnu.ua</w:t>
      </w:r>
      <w:r>
        <w:t xml:space="preserve"> </w:t>
      </w:r>
      <w:r>
        <w:t xml:space="preserve">(Z.R.)</w:t>
      </w:r>
      <w:r>
        <w:br/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 Institute of Applied Mathematics and Fundamental Sciences,</w:t>
      </w:r>
      <w:r>
        <w:br/>
      </w:r>
      <w:r>
        <w:t xml:space="preserve">Lviv Polytechnic National University, S. Bandery St. 12, 79013 Lviv, Ukraine</w:t>
      </w:r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 Correspondence:</w:t>
      </w:r>
      <w:r>
        <w:t xml:space="preserve"> </w:t>
      </w:r>
      <w:r>
        <w:rPr>
          <w:rStyle w:val="VerbatimChar"/>
        </w:rPr>
        <w:t xml:space="preserve">petro.y.pukach@lpnu.ua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Prompt context is usually chosen by scoring each source with one number and keeping the top few.</w:t>
      </w:r>
      <w:r>
        <w:t xml:space="preserve"> </w:t>
      </w:r>
      <w:r>
        <w:t xml:space="preserve">We study the limits of task-independent scalar rankings for context</w:t>
      </w:r>
      <w:r>
        <w:t xml:space="preserve"> </w:t>
      </w:r>
      <w:r>
        <w:t xml:space="preserve">sources. Two sources can be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Blackwell’s sense; we prove that when they</w:t>
      </w:r>
      <w:r>
        <w:t xml:space="preserve"> </w:t>
      </w:r>
      <w:r>
        <w:t xml:space="preserve">are, no single per-source score ranks them correctly for every task. That concerns the ideal user</w:t>
      </w:r>
      <w:r>
        <w:t xml:space="preserve"> </w:t>
      </w:r>
      <w:r>
        <w:t xml:space="preserve">of a source; what a fixed model does with one is separate, and we measure it. Running each source</w:t>
      </w:r>
      <w:r>
        <w:t xml:space="preserve"> </w:t>
      </w:r>
      <w:r>
        <w:t xml:space="preserve">through a battery of pass/fail tasks and comparing pass rates with exact confidence intervals, on</w:t>
      </w:r>
      <w:r>
        <w:t xml:space="preserve"> </w:t>
      </w:r>
      <w:r>
        <w:t xml:space="preserve">six models from four vendors we verify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both directions that two hand-built</w:t>
      </w:r>
      <w:r>
        <w:t xml:space="preserve"> </w:t>
      </w:r>
      <w:r>
        <w:t xml:space="preserve">sources cross in realized pass rate. On a designed trap a lexical</w:t>
      </w:r>
      <w:r>
        <w:t xml:space="preserve"> </w:t>
      </w:r>
      <w:r>
        <w:t xml:space="preserve">score, two dense retrievers and a cross-encoder prefer the wrong source, while a listwise LLM</w:t>
      </w:r>
      <w:r>
        <w:t xml:space="preserve"> </w:t>
      </w:r>
      <w:r>
        <w:t xml:space="preserve">reranker reading the deciding detail does not. A strict superset of a sufficient source also</w:t>
      </w:r>
      <w:r>
        <w:t xml:space="preserve"> </w:t>
      </w:r>
      <w:r>
        <w:t xml:space="preserve">lowers pass rates, verifiably on all twelve cells and as far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; a</w:t>
      </w:r>
      <w:r>
        <w:t xml:space="preserve"> </w:t>
      </w:r>
      <w:r>
        <w:t xml:space="preserve">character-matched padding arm and a reversed-order arm leave that collapse unexplained. Results</w:t>
      </w:r>
      <w:r>
        <w:t xml:space="preserve"> </w:t>
      </w:r>
      <w:r>
        <w:t xml:space="preserve">hold for the evaluated snapshots, prompts and decoders on a hand-built battery; scaling the</w:t>
      </w:r>
      <w:r>
        <w:t xml:space="preserve"> </w:t>
      </w:r>
      <w:r>
        <w:t xml:space="preserve">implied rule to large corpora remains open.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context selection; Blackwell order; comparison of experiments;</w:t>
      </w:r>
      <w:r>
        <w:t xml:space="preserve"> </w:t>
      </w:r>
      <w:r>
        <w:t xml:space="preserve">incomparability; partial order; retrieval-augmented generation; large language models;</w:t>
      </w:r>
      <w:r>
        <w:t xml:space="preserve"> </w:t>
      </w:r>
      <w:r>
        <w:t xml:space="preserve">distribution-free verification; anti-monotonicity; prompt engineering</w:t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Suppose a coding assistant is handed one of two short notes about a software module. The first</w:t>
      </w:r>
      <w:r>
        <w:t xml:space="preserve"> </w:t>
      </w:r>
      <w:r>
        <w:t xml:space="preserve">note says how to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its main function: the order of the arguments, a keyword that is</w:t>
      </w:r>
      <w:r>
        <w:t xml:space="preserve"> </w:t>
      </w:r>
      <w:r>
        <w:t xml:space="preserve">mandatory, and the error it raises on failure. The second note says how the module</w:t>
      </w:r>
      <w:r>
        <w:t xml:space="preserve"> </w:t>
      </w:r>
      <w:r>
        <w:rPr>
          <w:i/>
          <w:iCs/>
        </w:rPr>
        <w:t xml:space="preserve">encodes</w:t>
      </w:r>
      <w:r>
        <w:t xml:space="preserve"> </w:t>
      </w:r>
      <w:r>
        <w:t xml:space="preserve">numbers: a digit format ending in a checksum. For a task that calls the function the first note is</w:t>
      </w:r>
      <w:r>
        <w:t xml:space="preserve"> </w:t>
      </w:r>
      <w:r>
        <w:t xml:space="preserve">decisive and the second is useless; for a task that encodes a number it is the reverse; and</w:t>
      </w:r>
      <w:r>
        <w:t xml:space="preserve"> </w:t>
      </w:r>
      <w:r>
        <w:t xml:space="preserve">neither note can be reconstructed from the other. The two notes are</w:t>
      </w:r>
      <w:r>
        <w:t xml:space="preserve"> </w:t>
      </w:r>
      <w:r>
        <w:rPr>
          <w:i/>
          <w:iCs/>
        </w:rPr>
        <w:t xml:space="preserve">incomparable</w:t>
      </w:r>
      <w:r>
        <w:t xml:space="preserve"> </w:t>
      </w:r>
      <w:r>
        <w:t xml:space="preserve">in the</w:t>
      </w:r>
      <w:r>
        <w:t xml:space="preserve"> </w:t>
      </w:r>
      <w:r>
        <w:t xml:space="preserve">sense of Blackwell’s comparison of experiments </w:t>
      </w:r>
      <w:r>
        <w:t xml:space="preserve">(Blackwell 1953)</w:t>
      </w:r>
      <w:r>
        <w:t xml:space="preserve">, and the consequence is</w:t>
      </w:r>
      <w:r>
        <w:t xml:space="preserve"> </w:t>
      </w:r>
      <w:r>
        <w:t xml:space="preserve">immediate: no single relevance score ranks them correctly for every task, because a score must</w:t>
      </w:r>
      <w:r>
        <w:t xml:space="preserve"> </w:t>
      </w:r>
      <w:r>
        <w:t xml:space="preserve">crown one winner and here neither wins outright. In the body these are the sources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Production language-model systems spend much of their budget deciding</w:t>
      </w:r>
      <w:r>
        <w:t xml:space="preserve"> </w:t>
      </w:r>
      <w:r>
        <w:rPr>
          <w:i/>
          <w:iCs/>
        </w:rPr>
        <w:t xml:space="preserve">what context to place in the prompt</w:t>
      </w:r>
      <w:r>
        <w:t xml:space="preserve">. Retrieval-augmented generation ranks</w:t>
      </w:r>
      <w:r>
        <w:t xml:space="preserve"> </w:t>
      </w:r>
      <w:r>
        <w:t xml:space="preserve">passages, in-context learning selects demonstrations, and agentic coding tools</w:t>
      </w:r>
      <w:r>
        <w:t xml:space="preserve"> </w:t>
      </w:r>
      <w:r>
        <w:t xml:space="preserve">choose which files and conventions to surface. Across all of these, the</w:t>
      </w:r>
      <w:r>
        <w:t xml:space="preserve"> </w:t>
      </w:r>
      <w:r>
        <w:t xml:space="preserve">operative tool is a</w:t>
      </w:r>
      <w:r>
        <w:t xml:space="preserve"> </w:t>
      </w:r>
      <w:r>
        <w:rPr>
          <w:b/>
          <w:bCs/>
        </w:rPr>
        <w:t xml:space="preserve">scalar score</w:t>
      </w:r>
      <w:r>
        <w:t xml:space="preserve">, lexical or embedding relevance,</w:t>
      </w:r>
      <w:r>
        <w:t xml:space="preserve"> </w:t>
      </w:r>
      <w:r>
        <w:t xml:space="preserve">mutual information,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2022)</w:t>
      </w:r>
      <w:r>
        <w:t xml:space="preserve">,</w:t>
      </w:r>
      <w:r>
        <w:t xml:space="preserve"> </w:t>
      </w:r>
      <w:r>
        <w:t xml:space="preserve">expected information gain, used to impose a total order and retain the top</w:t>
      </w:r>
      <w:r>
        <w:t xml:space="preserve"> </w:t>
      </w:r>
      <w:r>
        <w:t xml:space="preserve">candidates. The scalar is convenient: it sorts, thresholds, and composes. This paper asks what a</w:t>
      </w:r>
      <w:r>
        <w:t xml:space="preserve"> </w:t>
      </w:r>
      <w:r>
        <w:t xml:space="preserve">task-independent scalar ranking can and cannot represent, and answers it with a classical</w:t>
      </w:r>
      <w:r>
        <w:t xml:space="preserve"> </w:t>
      </w:r>
      <w:r>
        <w:t xml:space="preserve">apparatus from statistical decision theory.</w:t>
      </w:r>
    </w:p>
    <w:bookmarkStart w:id="9" w:name="what-is-and-is-not-new."/>
    <w:p>
      <w:pPr>
        <w:pStyle w:val="Heading4"/>
      </w:pPr>
      <w:r>
        <w:t xml:space="preserve">What is and is not new.</w:t>
      </w:r>
    </w:p>
    <w:p>
      <w:pPr>
        <w:pStyle w:val="FirstParagraph"/>
      </w:pPr>
      <w:r>
        <w:t xml:space="preserve">The mathematics is classical: the garbling order, the Blackwell–Sherman–Stein equivalence,</w:t>
      </w:r>
      <w:r>
        <w:t xml:space="preserve"> </w:t>
      </w:r>
      <w:r>
        <w:t xml:space="preserve">Le Cam’s deficiency. So are several of the phenomena, each in its own literature: that utility</w:t>
      </w:r>
      <w:r>
        <w:t xml:space="preserve"> </w:t>
      </w:r>
      <w:r>
        <w:t xml:space="preserve">rather than topical relevance is the right target </w:t>
      </w:r>
      <w:r>
        <w:t xml:space="preserve">(H. Zhang et al. 2026)</w:t>
      </w:r>
      <w:r>
        <w:t xml:space="preserve"> </w:t>
      </w:r>
      <w:r>
        <w:t xml:space="preserve">and is</w:t>
      </w:r>
      <w:r>
        <w:t xml:space="preserve"> </w:t>
      </w:r>
      <w:r>
        <w:t xml:space="preserve">model-dependent </w:t>
      </w:r>
      <w:r>
        <w:t xml:space="preserve">(Zhang et al. 2025)</w:t>
      </w:r>
      <w:r>
        <w:t xml:space="preserve">; that adding sources can lower accuracy while coverage</w:t>
      </w:r>
      <w:r>
        <w:t xml:space="preserve"> </w:t>
      </w:r>
      <w:r>
        <w:t xml:space="preserve">saturates </w:t>
      </w:r>
      <w:r>
        <w:t xml:space="preserve">(Dong et al. 2012)</w:t>
      </w:r>
      <w:r>
        <w:t xml:space="preserve">; that rerankers are steered by lexical</w:t>
      </w:r>
      <w:r>
        <w:t xml:space="preserve"> </w:t>
      </w:r>
      <w:r>
        <w:t xml:space="preserve">similarity </w:t>
      </w:r>
      <w:r>
        <w:t xml:space="preserve">(Hagström, Nie, et al. 2025)</w:t>
      </w:r>
      <w:r>
        <w:t xml:space="preserve">; that keeping a non-dominated set is already an operator</w:t>
      </w:r>
      <w:r>
        <w:t xml:space="preserve"> </w:t>
      </w:r>
      <w:r>
        <w:t xml:space="preserve">over heuristic scores </w:t>
      </w:r>
      <w:r>
        <w:t xml:space="preserve">(Zhu et al. 2026)</w:t>
      </w:r>
      <w:r>
        <w:t xml:space="preserve">; and that the Blackwell and Le Cam apparatus was</w:t>
      </w:r>
      <w:r>
        <w:t xml:space="preserve"> </w:t>
      </w:r>
      <w:r>
        <w:t xml:space="preserve">brought to inference-time context selection concurrently with this work, over which we claim no</w:t>
      </w:r>
      <w:r>
        <w:t xml:space="preserve"> </w:t>
      </w:r>
      <w:r>
        <w:t xml:space="preserve">priority </w:t>
      </w:r>
      <w:r>
        <w:t xml:space="preserve">(Alpila 2026a)</w:t>
      </w:r>
      <w:r>
        <w:t xml:space="preserve">. Section 2 treats each in turn. The gap is that none of them</w:t>
      </w:r>
      <w:r>
        <w:t xml:space="preserve"> </w:t>
      </w:r>
      <w:r>
        <w:t xml:space="preserve">gives the order itself an object or a test: cross-task non-transfer is described as a nuisance</w:t>
      </w:r>
      <w:r>
        <w:t xml:space="preserve"> </w:t>
      </w:r>
      <w:r>
        <w:t xml:space="preserve">rather than read as a partial order, and no finite-sample procedure decides on a live model</w:t>
      </w:r>
      <w:r>
        <w:t xml:space="preserve"> </w:t>
      </w:r>
      <w:r>
        <w:t xml:space="preserve">whether two particular sources are incomparable. That is what C1–C3 below supply.</w:t>
      </w:r>
    </w:p>
    <w:p>
      <w:pPr>
        <w:pStyle w:val="BodyText"/>
      </w:pPr>
      <w:r>
        <w:t xml:space="preserve">One gap needs care. Blackwell’s theorem is about the</w:t>
      </w:r>
      <w:r>
        <w:t xml:space="preserve"> </w:t>
      </w:r>
      <w:r>
        <w:rPr>
          <w:i/>
          <w:iCs/>
        </w:rPr>
        <w:t xml:space="preserve">best possible</w:t>
      </w:r>
      <w:r>
        <w:t xml:space="preserve"> </w:t>
      </w:r>
      <w:r>
        <w:t xml:space="preserve">use</w:t>
      </w:r>
      <w:r>
        <w:t xml:space="preserve"> </w:t>
      </w:r>
      <w:r>
        <w:t xml:space="preserve">of a source, but every number we measure comes from one fixed model: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pass rate of a single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is not optimal. So</w:t>
      </w:r>
      <w:r>
        <w:t xml:space="preserve"> </w:t>
      </w:r>
      <w:r>
        <w:t xml:space="preserve">we state the order twice, for the ideal user and for the fixed model, and prove a one-way bridging</w:t>
      </w:r>
      <w:r>
        <w:t xml:space="preserve"> </w:t>
      </w:r>
      <w:r>
        <w:t xml:space="preserve">lemma whose hypotheses are assumed, not measured; our sources’ structural incomparability rests</w:t>
      </w:r>
      <w:r>
        <w:t xml:space="preserve"> </w:t>
      </w:r>
      <w:r>
        <w:t xml:space="preserve">instead on their construction (see Section 4); and we call our estimator a</w:t>
      </w:r>
      <w:r>
        <w:t xml:space="preserve"> </w:t>
      </w:r>
      <w:r>
        <w:rPr>
          <w:i/>
          <w:iCs/>
        </w:rPr>
        <w:t xml:space="preserve">value-deficiency surrogate</w:t>
      </w:r>
      <w:r>
        <w:t xml:space="preserve">, not a Le Cam deficiency (see Section 6).</w:t>
      </w:r>
    </w:p>
    <w:bookmarkEnd w:id="9"/>
    <w:bookmarkStart w:id="10" w:name="contributions."/>
    <w:p>
      <w:pPr>
        <w:pStyle w:val="Heading4"/>
      </w:pPr>
      <w:r>
        <w:t xml:space="preserve">Contributions.</w:t>
      </w:r>
    </w:p>
    <w:p>
      <w:pPr>
        <w:pStyle w:val="FirstParagraph"/>
      </w:pPr>
      <w:r>
        <w:t xml:space="preserve">The paper makes one claim, that the order over context sources is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rather than total, and contributes the three pieces that claim needs: what follows</w:t>
      </w:r>
      <w:r>
        <w:t xml:space="preserve"> </w:t>
      </w:r>
      <w:r>
        <w:t xml:space="preserve">from it, the instrument that makes it testable, and the evidence that it holds.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Theory: the order is partial, and no single per-source score survives it</w:t>
      </w:r>
      <w:r>
        <w:t xml:space="preserve"> </w:t>
      </w:r>
      <w:r>
        <w:t xml:space="preserve">(see Sections 4 and 5). We formalize context sources as statistical</w:t>
      </w:r>
      <w:r>
        <w:t xml:space="preserve"> </w:t>
      </w:r>
      <w:r>
        <w:t xml:space="preserve">experiments on the task’s latent requirement, instantiate the Blackwell garbling order with its</w:t>
      </w:r>
      <w:r>
        <w:t xml:space="preserve"> </w:t>
      </w:r>
      <w:r>
        <w:t xml:space="preserve">for-all-tasks dominance guarantee via the Blackwell–Sherman–Stein theorem, define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the experiments probe, and prove a one-way bridging lemma between</w:t>
      </w:r>
      <w:r>
        <w:t xml:space="preserve"> </w:t>
      </w:r>
      <w:r>
        <w:t xml:space="preserve">them. What 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as the object is an impossibility:</w:t>
      </w:r>
      <w:r>
        <w:t xml:space="preserve"> </w:t>
      </w:r>
      <w:r>
        <w:t xml:space="preserve">Blackwell-incomparable sources cannot be ranked by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single per-source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relevance or utility, for all tasks (Theorem 2), with the</w:t>
      </w:r>
      <w:r>
        <w:t xml:space="preserve"> </w:t>
      </w:r>
      <w:r>
        <w:t xml:space="preserve">query-conditioned topical case isolated separately (Proposition 2).</w:t>
      </w:r>
      <w:r>
        <w:t xml:space="preserve"> </w:t>
      </w:r>
      <w:r>
        <w:t xml:space="preserve">Information retrieval has long argued that no single fixed document score is optimal once</w:t>
      </w:r>
      <w:r>
        <w:t xml:space="preserve"> </w:t>
      </w:r>
      <w:r>
        <w:t xml:space="preserve">documents interact (see Section 2.1); we derive that as a theorem in the Blackwell frame</w:t>
      </w:r>
      <w:r>
        <w:t xml:space="preserve"> </w:t>
      </w:r>
      <w:r>
        <w:t xml:space="preserve">and name the exact structural condition under which it bites.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Verification: a measurable deficiency surrogate with finite-sample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(see Section 6). We define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gap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rPr>
                    <m:sty m:val="p"/>
                  </m:rPr>
                  <m:t>sup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together with its plug-in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a</w:t>
      </w:r>
      <w:r>
        <w:t xml:space="preserve"> </w:t>
      </w:r>
      <w:r>
        <w:t xml:space="preserve">decision-restricted value-deficiency surrogate (named as such, not as a Le Cam deficiency), and a</w:t>
      </w:r>
      <w:r>
        <w:t xml:space="preserve"> </w:t>
      </w:r>
      <w:r>
        <w:t xml:space="preserve">distribution-free uniform verification: exact Clopper–Pearson</w:t>
      </w:r>
      <w:r>
        <w:t xml:space="preserve"> </w:t>
      </w:r>
      <w:r>
        <w:t xml:space="preserve">intervals </w:t>
      </w:r>
      <w:r>
        <w:t xml:space="preserve">(Clopper and Pearson 1934)</w:t>
      </w:r>
      <w:r>
        <w:t xml:space="preserve"> </w:t>
      </w:r>
      <w:r>
        <w:t xml:space="preserve">at Bonferroni level </w:t>
      </w:r>
      <w:r>
        <w:t xml:space="preserve">(Bonferroni 1936)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valid jointly on a single event, so that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verifies a</w:t>
      </w:r>
      <w:r>
        <w:t xml:space="preserve"> </w:t>
      </w:r>
      <w:r>
        <w:t xml:space="preserve">positive value gap at 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The selection multiplicity is paid explicitly</w:t>
      </w:r>
      <w:r>
        <w:t xml:space="preserve"> </w:t>
      </w:r>
      <w:r>
        <w:t xml:space="preserve">rather than absorbed into a single-sample sup inequality </w:t>
      </w:r>
      <w:r>
        <w:t xml:space="preserve">(Dvoretzky et al. 1956)</w:t>
      </w:r>
      <w:r>
        <w:t xml:space="preserve">, which does not</w:t>
      </w:r>
      <w:r>
        <w:t xml:space="preserve"> </w:t>
      </w:r>
      <w:r>
        <w:t xml:space="preserve">cover an argmax over distinct cells. This is what makes the partial order testable on a real</w:t>
      </w:r>
      <w:r>
        <w:t xml:space="preserve"> </w:t>
      </w:r>
      <w:r>
        <w:t xml:space="preserve">model behind a real verifier.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Evidence: verified incomparability and scalar-ranking failure on</w:t>
      </w:r>
      <w:r>
        <w:rPr>
          <w:b/>
          <w:bCs/>
        </w:rPr>
        <w:t xml:space="preserve"> </w:t>
      </w:r>
      <w:r>
        <w:rPr>
          <w:b/>
          <w:bCs/>
        </w:rPr>
        <w:t xml:space="preserve">live models</w:t>
      </w:r>
      <w:r>
        <w:t xml:space="preserve"> </w:t>
      </w:r>
      <w:r>
        <w:t xml:space="preserve">(see Section 7). Verified empirical incomparability on six models across</w:t>
      </w:r>
      <w:r>
        <w:t xml:space="preserve"> </w:t>
      </w:r>
      <w:r>
        <w:t xml:space="preserve">four vendors; the ranker-spectrum mis-rank on a confound-controlled trap (lexical cosine, dense</w:t>
      </w:r>
      <w:r>
        <w:t xml:space="preserve"> </w:t>
      </w:r>
      <w:r>
        <w:t xml:space="preserve">bi-encoders, and a cross-encoder all fail; an LLM listwise reranker that reads the decisive</w:t>
      </w:r>
      <w:r>
        <w:t xml:space="preserve"> </w:t>
      </w:r>
      <w:r>
        <w:t xml:space="preserve">content escapes, exactly the topicality boundary the theory draws); and verified</w:t>
      </w:r>
      <w:r>
        <w:t xml:space="preserve"> </w:t>
      </w:r>
      <w:r>
        <w:t xml:space="preserve">anti-monotonicity, a strict superset of a sufficient source collapsing PASS, with order,</w:t>
      </w:r>
      <w:r>
        <w:t xml:space="preserve"> </w:t>
      </w:r>
      <w:r>
        <w:t xml:space="preserve">length-padding, and routing-instruction controls, all with the scope limits stated in</w:t>
      </w:r>
      <w:r>
        <w:t xml:space="preserve"> </w:t>
      </w:r>
      <w:r>
        <w:t xml:space="preserve">Section 8.4.</w:t>
      </w:r>
    </w:p>
    <w:bookmarkEnd w:id="10"/>
    <w:bookmarkStart w:id="13" w:name="Xb6701dcf12d16d79f6bf2e7b4dc1d334ba13c75"/>
    <w:p>
      <w:pPr>
        <w:pStyle w:val="Heading4"/>
      </w:pPr>
      <w:r>
        <w:t xml:space="preserve">How to read the formal terms, and where things are.</w:t>
      </w:r>
    </w:p>
    <w:p>
      <w:pPr>
        <w:pStyle w:val="FirstParagraph"/>
      </w:pPr>
      <w:r>
        <w:t xml:space="preserve">Table 1 gives the engineering reading of each recurring term, and a reader who</w:t>
      </w:r>
      <w:r>
        <w:t xml:space="preserve"> </w:t>
      </w:r>
      <w:r>
        <w:t xml:space="preserve">wants the measured result first can go straight to Section 7. Otherwise the order is</w:t>
      </w:r>
      <w:r>
        <w:t xml:space="preserve"> </w:t>
      </w:r>
      <w:r>
        <w:t xml:space="preserve">prior work (see Section 2), the partial order and the two impossibility results</w:t>
      </w:r>
      <w:r>
        <w:t xml:space="preserve"> </w:t>
      </w:r>
      <w:r>
        <w:t xml:space="preserve">(see Sections 4 and 5), the verification</w:t>
      </w:r>
      <w:r>
        <w:t xml:space="preserve"> </w:t>
      </w:r>
      <w:r>
        <w:t xml:space="preserve">(see Section 6), the six-model measurement (see Section 7), scope and</w:t>
      </w:r>
      <w:r>
        <w:t xml:space="preserve"> </w:t>
      </w:r>
      <w:r>
        <w:t xml:space="preserve">conclusions (see Sections 8 and 9), with proofs, the per-cell record,</w:t>
      </w:r>
      <w:r>
        <w:t xml:space="preserve"> </w:t>
      </w:r>
      <w:r>
        <w:t xml:space="preserve">the diagnostics and the protocol in Appendices A–D.</w:t>
      </w:r>
    </w:p>
    <w:bookmarkStart w:id="11" w:name="tab:glossary"/>
    <w:p>
      <w:pPr>
        <w:pStyle w:val="TableCaption"/>
      </w:pPr>
      <w:r>
        <w:t xml:space="preserve">Glossary: the recurring formal terms and their engineering reading.</w:t>
      </w:r>
    </w:p>
    <w:tbl>
      <w:tblPr>
        <w:tblStyle w:val="Table"/>
        <w:tblW w:type="pct" w:w="4700"/>
        <w:tblLayout w:type="fixed"/>
        <w:tblLook w:firstRow="1" w:lastRow="0" w:firstColumn="0" w:lastColumn="0" w:noHBand="0" w:noVBand="0" w:val="0020"/>
        <w:tblCaption w:val="Glossary: the recurring formal terms and their engineering reading."/>
      </w:tblPr>
      <w:tblGrid>
        <w:gridCol w:w="2376"/>
        <w:gridCol w:w="50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Formal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(an experiment)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candidate context item: a doc, note, or module you could paste into the prompt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Blackwell dominance</w:t>
            </w:r>
            <w:r>
              <w:t xml:space="preserve"> </w:t>
            </w:r>
            <m:oMath>
              <m:r>
                <m:t>W</m:t>
              </m:r>
              <m:sSub>
                <m:e>
                  <m:r>
                    <m:rPr>
                      <m:sty m:val="p"/>
                    </m:rPr>
                    <m:t>≽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  <w:r>
              <w:t xml:space="preserve"> </w:t>
            </w:r>
            <w:r>
              <w:t xml:space="preserve">answers everything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answers; keeping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dropping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source is decisive on tasks where the other fails; no single number can rank them once and for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garbling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a lossy transformation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: everything in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derivable from</w:t>
            </w:r>
            <w:r>
              <w:t xml:space="preserve"> </w:t>
            </w:r>
            <m:oMath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anti-monotonicity (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pasting more true, on-topic text into a working prompt can break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non-dominated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shortlist you must keep whole, because nothing on it verifiably covers anything else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claim measured with exact finite-sample error bars, still significant after multiple-comparison correction, under the per-cell Bernoulli sampling model of Assumption 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rule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model as it actually behaves on the prompt, not an idealized optimal user of the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  <w:r>
              <w:t xml:space="preserve">, plug-in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δ</m:t>
                      </m:r>
                    </m:e>
                  </m:acc>
                </m:e>
                <m:sub>
                  <m:r>
                    <m:rPr>
                      <m:scr m:val="script"/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how many PASS points you lose by using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on the task family; the hat marks the sample estimate, never the population gap</w:t>
            </w:r>
          </w:p>
        </w:tc>
      </w:tr>
    </w:tbl>
    <w:bookmarkEnd w:id="11"/>
    <w:p>
      <w:pPr>
        <w:pStyle w:val="BodyText"/>
      </w:pPr>
      <w:bookmarkStart w:id="12" w:name="tab:glossary"/>
      <w:bookmarkEnd w:id="12"/>
    </w:p>
    <w:bookmarkEnd w:id="13"/>
    <w:bookmarkEnd w:id="14"/>
    <w:bookmarkStart w:id="22" w:name="sec:related"/>
    <w:p>
      <w:pPr>
        <w:pStyle w:val="Heading1"/>
      </w:pPr>
      <w:r>
        <w:t xml:space="preserve">Related Work</w:t>
      </w:r>
    </w:p>
    <w:bookmarkStart w:id="16" w:name="sec:related-scalar"/>
    <w:p>
      <w:pPr>
        <w:pStyle w:val="Heading2"/>
      </w:pPr>
      <w:r>
        <w:t xml:space="preserve">Scalar selection and its limits in information retrieval</w:t>
      </w:r>
    </w:p>
    <w:p>
      <w:pPr>
        <w:pStyle w:val="FirstParagraph"/>
      </w:pPr>
      <w:bookmarkStart w:id="15" w:name="sec:related-ir"/>
      <w:bookmarkEnd w:id="15"/>
    </w:p>
    <w:p>
      <w:pPr>
        <w:pStyle w:val="BodyText"/>
      </w:pPr>
      <w:r>
        <w:t xml:space="preserve">Context and demonstration selection is dominated by</w:t>
      </w:r>
      <w:r>
        <w:t xml:space="preserve"> </w:t>
      </w:r>
      <w:r>
        <w:rPr>
          <w:i/>
          <w:iCs/>
        </w:rPr>
        <w:t xml:space="preserve">scalar</w:t>
      </w:r>
      <w:r>
        <w:t xml:space="preserve"> </w:t>
      </w:r>
      <w:r>
        <w:t xml:space="preserve">criteria, each inducing a total</w:t>
      </w:r>
      <w:r>
        <w:t xml:space="preserve"> </w:t>
      </w:r>
      <w:r>
        <w:t xml:space="preserve">order and a top-</w:t>
      </w:r>
      <m:oMath>
        <m:r>
          <m:t>k</m:t>
        </m:r>
      </m:oMath>
      <w:r>
        <w:t xml:space="preserve"> </w:t>
      </w:r>
      <w:r>
        <w:t xml:space="preserve">prefix: topical relevance, lexical or learned </w:t>
      </w:r>
      <w:r>
        <w:t xml:space="preserve">(Yu et al. 2024)</w:t>
      </w:r>
      <w:r>
        <w:t xml:space="preserve">;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 </w:t>
      </w:r>
      <w:r>
        <w:t xml:space="preserve">(Ethayarajh et al. 2022; Yuan et al. 2025)</w:t>
      </w:r>
      <w:r>
        <w:t xml:space="preserve">; expected information gain and Bayesian</w:t>
      </w:r>
      <w:r>
        <w:t xml:space="preserve"> </w:t>
      </w:r>
      <w:r>
        <w:t xml:space="preserve">experimental design </w:t>
      </w:r>
      <w:r>
        <w:t xml:space="preserve">(Choudhury et al. 2025; Chan et al. 2025)</w:t>
      </w:r>
      <w:r>
        <w:t xml:space="preserve">; Shapley- and influence-based valuation of</w:t>
      </w:r>
      <w:r>
        <w:t xml:space="preserve"> </w:t>
      </w:r>
      <w:r>
        <w:t xml:space="preserve">demonstrations </w:t>
      </w:r>
      <w:r>
        <w:t xml:space="preserve">(Xie et al. 2024; Vinay et al. 2024)</w:t>
      </w:r>
      <w:r>
        <w:t xml:space="preserve"> </w:t>
      </w:r>
      <w:r>
        <w:t xml:space="preserve">and of retrieved</w:t>
      </w:r>
      <w:r>
        <w:t xml:space="preserve"> </w:t>
      </w:r>
      <w:r>
        <w:t xml:space="preserve">documents </w:t>
      </w:r>
      <w:r>
        <w:t xml:space="preserve">(Nematov et al. 2025)</w:t>
      </w:r>
      <w:r>
        <w:t xml:space="preserve">; perplexity-reduction utility </w:t>
      </w:r>
      <w:r>
        <w:t xml:space="preserve">(Dai et al. 2025)</w:t>
      </w:r>
      <w:r>
        <w:t xml:space="preserve">; and</w:t>
      </w:r>
      <w:r>
        <w:t xml:space="preserve"> </w:t>
      </w:r>
      <w:r>
        <w:t xml:space="preserve">binary sufficient-context detection </w:t>
      </w:r>
      <w:r>
        <w:t xml:space="preserve">(Joren et al. 2024)</w:t>
      </w:r>
      <w:r>
        <w:t xml:space="preserve">. Each collapses the comparison</w:t>
      </w:r>
      <w:r>
        <w:t xml:space="preserve"> </w:t>
      </w:r>
      <w:r>
        <w:t xml:space="preserve">of two sources to one real number, so each is an instance of the excluded class rather than a</w:t>
      </w:r>
      <w:r>
        <w:t xml:space="preserve"> </w:t>
      </w:r>
      <w:r>
        <w:t xml:space="preserve">competitor: Theorem 2 covers the query-independent ones, and</w:t>
      </w:r>
      <w:r>
        <w:t xml:space="preserve"> </w:t>
      </w:r>
      <w:r>
        <w:t xml:space="preserve">Proposition 2 the topical query-conditioned ones that meet its</w:t>
      </w:r>
      <w:r>
        <w:t xml:space="preserve"> </w:t>
      </w:r>
      <w:r>
        <w:t xml:space="preserve">hypotheses.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we prove Blackwell-monotonicity</w:t>
      </w:r>
      <w:r>
        <w:t xml:space="preserve"> </w:t>
      </w:r>
      <w:r>
        <w:t xml:space="preserve">(Proposition 1); for mutual information and fixed-prior EIG it follows from</w:t>
      </w:r>
      <w:r>
        <w:t xml:space="preserve"> </w:t>
      </w:r>
      <w:r>
        <w:t xml:space="preserve">data processing; for a fixed decoder’s perplexity-gap we claim nothing</w:t>
      </w:r>
      <w:r>
        <w:t xml:space="preserve"> </w:t>
      </w:r>
      <w:r>
        <w:t xml:space="preserve">(Remark 5). Calibration does not change the class: conformal context</w:t>
      </w:r>
      <w:r>
        <w:t xml:space="preserve"> </w:t>
      </w:r>
      <w:r>
        <w:t xml:space="preserve">filtering </w:t>
      </w:r>
      <w:r>
        <w:t xml:space="preserve">(Chakraborty et al. 2025)</w:t>
      </w:r>
      <w:r>
        <w:t xml:space="preserve"> </w:t>
      </w:r>
      <w:r>
        <w:t xml:space="preserve">calibrates a threshold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a scalar and inherits</w:t>
      </w:r>
      <w:r>
        <w:t xml:space="preserve"> </w:t>
      </w:r>
      <w:r>
        <w:t xml:space="preserve">its total order, and scorers of equal ranking quality can retain different document</w:t>
      </w:r>
      <w:r>
        <w:t xml:space="preserve"> </w:t>
      </w:r>
      <w:r>
        <w:t xml:space="preserve">sets </w:t>
      </w:r>
      <w:r>
        <w:t xml:space="preserve">(Frohmann et al. 2026)</w:t>
      </w:r>
      <w:r>
        <w:t xml:space="preserve">. Identifying a non-dominated set from noisy samples is</w:t>
      </w:r>
      <w:r>
        <w:t xml:space="preserve"> </w:t>
      </w:r>
      <w:r>
        <w:t xml:space="preserve">classical in the bandit literature </w:t>
      </w:r>
      <w:r>
        <w:t xml:space="preserve">(Auer et al. 2016)</w:t>
      </w:r>
      <w:r>
        <w:t xml:space="preserve">; what is new here is the object it runs</w:t>
      </w:r>
      <w:r>
        <w:t xml:space="preserve"> </w:t>
      </w:r>
      <w:r>
        <w:t xml:space="preserve">on, (model, verifier, task-battery) triples, not the statistical machinery.</w:t>
      </w:r>
    </w:p>
    <w:p>
      <w:pPr>
        <w:pStyle w:val="BodyText"/>
      </w:pPr>
      <w:r>
        <w:t xml:space="preserve">Retrieval has itself moved from relevance to</w:t>
      </w:r>
      <w:r>
        <w:t xml:space="preserve"> </w:t>
      </w:r>
      <w:r>
        <w:rPr>
          <w:i/>
          <w:iCs/>
        </w:rPr>
        <w:t xml:space="preserve">utility</w:t>
      </w:r>
      <w:r>
        <w:t xml:space="preserve"> </w:t>
      </w:r>
      <w:r>
        <w:t xml:space="preserve">(H. Zhang et al. 2026)</w:t>
      </w:r>
      <w:r>
        <w:t xml:space="preserve">, which is</w:t>
      </w:r>
      <w:r>
        <w:t xml:space="preserve"> </w:t>
      </w:r>
      <w:r>
        <w:t xml:space="preserve">model-specific </w:t>
      </w:r>
      <w:r>
        <w:t xml:space="preserve">(Zhang et al. 2025)</w:t>
      </w:r>
      <w:r>
        <w:t xml:space="preserve"> </w:t>
      </w:r>
      <w:r>
        <w:t xml:space="preserve">and depends on which other passages are</w:t>
      </w:r>
      <w:r>
        <w:t xml:space="preserve"> </w:t>
      </w:r>
      <w:r>
        <w:t xml:space="preserve">present </w:t>
      </w:r>
      <w:r>
        <w:t xml:space="preserve">(Jain and Garimella 2025)</w:t>
      </w:r>
      <w:r>
        <w:t xml:space="preserve">. That is the same diagnosis from the other side, and</w:t>
      </w:r>
      <w:r>
        <w:t xml:space="preserve"> </w:t>
      </w:r>
      <w:r>
        <w:t xml:space="preserve">this paper is its formal boundary. Utility re-measured per task by running the model is not a</w:t>
      </w:r>
      <w:r>
        <w:t xml:space="preserve"> </w:t>
      </w:r>
      <w:r>
        <w:t xml:space="preserve">fixed per-source score but the probe our estimator is built from; utility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by a</w:t>
      </w:r>
      <w:r>
        <w:t xml:space="preserve"> </w:t>
      </w:r>
      <w:r>
        <w:t xml:space="preserve">learned scorer is a number again, and falls under whichever of the two results applies. Reading</w:t>
      </w:r>
      <w:r>
        <w:t xml:space="preserve"> </w:t>
      </w:r>
      <w:r>
        <w:t xml:space="preserve">the decisive coordinate is one way out, the listwise boundary; reading public task metadata is</w:t>
      </w:r>
      <w:r>
        <w:t xml:space="preserve"> </w:t>
      </w:r>
      <w:r>
        <w:t xml:space="preserve">another (Remark 6). Three families sit there. Listwise</w:t>
      </w:r>
      <w:r>
        <w:t xml:space="preserve"> </w:t>
      </w:r>
      <w:r>
        <w:t xml:space="preserve">rerankers </w:t>
      </w:r>
      <w:r>
        <w:t xml:space="preserve">(Sun et al. 2023)</w:t>
      </w:r>
      <w:r>
        <w:t xml:space="preserve"> </w:t>
      </w:r>
      <w:r>
        <w:t xml:space="preserve">and learned set selectors </w:t>
      </w:r>
      <w:r>
        <w:t xml:space="preserve">(Jiang et al. 2026; Fan et al. 2026)</w:t>
      </w:r>
      <w:r>
        <w:t xml:space="preserve"> </w:t>
      </w:r>
      <w:r>
        <w:t xml:space="preserve">are</w:t>
      </w:r>
      <w:r>
        <w:t xml:space="preserve"> </w:t>
      </w:r>
      <w:r>
        <w:t xml:space="preserve">query-conditioned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functions, outside the theorem’s scope but carrying no dominance</w:t>
      </w:r>
      <w:r>
        <w:t xml:space="preserve"> </w:t>
      </w:r>
      <w:r>
        <w:t xml:space="preserve">guarantee. Skyline selection </w:t>
      </w:r>
      <w:r>
        <w:t xml:space="preserve">(Zhu et al. 2026)</w:t>
      </w:r>
      <w:r>
        <w:t xml:space="preserve"> </w:t>
      </w:r>
      <w:r>
        <w:t xml:space="preserve">keeps the non-dominated set, the operator the</w:t>
      </w:r>
      <w:r>
        <w:t xml:space="preserve"> </w:t>
      </w:r>
      <w:r>
        <w:t xml:space="preserve">partial order calls for, but takes dominance over heuristic per-item scores rather than task</w:t>
      </w:r>
      <w:r>
        <w:t xml:space="preserve"> </w:t>
      </w:r>
      <w:r>
        <w:t xml:space="preserve">value. Diversity-aware selection, from MMR </w:t>
      </w:r>
      <w:r>
        <w:t xml:space="preserve">(Carbonell and Goldstein 1998)</w:t>
      </w:r>
      <w:r>
        <w:t xml:space="preserve"> </w:t>
      </w:r>
      <w:r>
        <w:t xml:space="preserve">to DPPs </w:t>
      </w:r>
      <w:r>
        <w:t xml:space="preserve">(Ye et al. 2023)</w:t>
      </w:r>
      <w:r>
        <w:t xml:space="preserve"> </w:t>
      </w:r>
      <w:r>
        <w:t xml:space="preserve">and</w:t>
      </w:r>
      <w:r>
        <w:t xml:space="preserve"> </w:t>
      </w:r>
      <w:r>
        <w:t xml:space="preserve">submodular selection </w:t>
      </w:r>
      <w:r>
        <w:t xml:space="preserve">(Ghulyani et al. 2026)</w:t>
      </w:r>
      <w:r>
        <w:t xml:space="preserve">, optimizes similarity geometry rather than verified value.</w:t>
      </w:r>
      <w:r>
        <w:t xml:space="preserve"> </w:t>
      </w:r>
      <w:r>
        <w:t xml:space="preserve">Directed-information</w:t>
      </w:r>
      <w:r>
        <w:t xml:space="preserve"> </w:t>
      </w:r>
      <m:oMath>
        <m:r>
          <m:t>γ</m:t>
        </m:r>
      </m:oMath>
      <w:r>
        <w:t xml:space="preserve">-covering </w:t>
      </w:r>
      <w:r>
        <w:t xml:space="preserve">(Huang 2025)</w:t>
      </w:r>
      <w:r>
        <w:t xml:space="preserve"> </w:t>
      </w:r>
      <w:r>
        <w:t xml:space="preserve">is closest in form, its</w:t>
      </w:r>
      <w:r>
        <w:t xml:space="preserve"> </w:t>
      </w:r>
      <w:r>
        <w:t xml:space="preserve">covering relation being asymmetric and information-theoretic; but it orders redundancy</w:t>
      </w:r>
      <w:r>
        <w:t xml:space="preserve"> </w:t>
      </w:r>
      <w:r>
        <w:rPr>
          <w:i/>
          <w:iCs/>
        </w:rPr>
        <w:t xml:space="preserve">between sources</w:t>
      </w:r>
      <w:r>
        <w:t xml:space="preserve">, computed query-agnostically, so it prunes what another chunk predicts and</w:t>
      </w:r>
      <w:r>
        <w:t xml:space="preserve"> </w:t>
      </w:r>
      <w:r>
        <w:t xml:space="preserve">never exhibits two sources each decisive where the other fails.</w:t>
      </w:r>
    </w:p>
    <w:p>
      <w:pPr>
        <w:pStyle w:val="BodyText"/>
      </w:pPr>
      <w:r>
        <w:t xml:space="preserve">The limits of scalar relevance are among the oldest themes in the field, and we sit inside that</w:t>
      </w:r>
      <w:r>
        <w:t xml:space="preserve"> </w:t>
      </w:r>
      <w:r>
        <w:t xml:space="preserve">lineage: the Probability Ranking Principle </w:t>
      </w:r>
      <w:r>
        <w:t xml:space="preserve">(Robertson 1977)</w:t>
      </w:r>
      <w:r>
        <w:t xml:space="preserve"> </w:t>
      </w:r>
      <w:r>
        <w:t xml:space="preserve">is optimal only under</w:t>
      </w:r>
      <w:r>
        <w:t xml:space="preserve"> </w:t>
      </w:r>
      <w:r>
        <w:t xml:space="preserve">independence, its failure once documents interact is long documented </w:t>
      </w:r>
      <w:r>
        <w:t xml:space="preserve">(Fuhr 2008)</w:t>
      </w:r>
      <w:r>
        <w:t xml:space="preserve">, and</w:t>
      </w:r>
      <w:r>
        <w:t xml:space="preserve"> </w:t>
      </w:r>
      <w:r>
        <w:t xml:space="preserve">interdependence was given ranking principles of its own in portfolio</w:t>
      </w:r>
      <w:r>
        <w:t xml:space="preserve"> </w:t>
      </w:r>
      <w:r>
        <w:t xml:space="preserve">theory </w:t>
      </w:r>
      <w:r>
        <w:t xml:space="preserve">(Wang and Zhu 2009)</w:t>
      </w:r>
      <w:r>
        <w:t xml:space="preserve"> </w:t>
      </w:r>
      <w:r>
        <w:t xml:space="preserve">and the quantum PRP, whose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term names exactly</w:t>
      </w:r>
      <w:r>
        <w:t xml:space="preserve"> </w:t>
      </w:r>
      <w:r>
        <w:t xml:space="preserve">this dependence </w:t>
      </w:r>
      <w:r>
        <w:t xml:space="preserve">(Zuccon and Azzopardi 2010)</w:t>
      </w:r>
      <w:r>
        <w:t xml:space="preserve">. The LLM-era version, relevance-maximizing retrieval</w:t>
      </w:r>
      <w:r>
        <w:t xml:space="preserve"> </w:t>
      </w:r>
      <w:r>
        <w:t xml:space="preserve">degrading answers, is measured directly </w:t>
      </w:r>
      <w:r>
        <w:t xml:space="preserve">(LeVine and Varjavand 2025)</w:t>
      </w:r>
      <w:r>
        <w:t xml:space="preserve">, and the observation that</w:t>
      </w:r>
      <w:r>
        <w:t xml:space="preserve"> </w:t>
      </w:r>
      <w:r>
        <w:t xml:space="preserve">relevance does not imply</w:t>
      </w:r>
      <w:r>
        <w:t xml:space="preserve"> </w:t>
      </w:r>
      <w:r>
        <w:rPr>
          <w:i/>
          <w:iCs/>
        </w:rPr>
        <w:t xml:space="preserve">sufficiency</w:t>
      </w:r>
      <w:r>
        <w:t xml:space="preserve"> </w:t>
      </w:r>
      <w:r>
        <w:t xml:space="preserve">is argued at the set level </w:t>
      </w:r>
      <w:r>
        <w:t xml:space="preserve">(Qiu et al. 2026)</w:t>
      </w:r>
      <w:r>
        <w:t xml:space="preserve">. Our</w:t>
      </w:r>
      <w:r>
        <w:t xml:space="preserve"> </w:t>
      </w:r>
      <w:r>
        <w:t xml:space="preserve">delta is the form of the statement: a theorem in the comparison-of-experiments frame, with the</w:t>
      </w:r>
      <w:r>
        <w:t xml:space="preserve"> </w:t>
      </w:r>
      <w:r>
        <w:t xml:space="preserve">structural condition under which every query-independent scalar must mis-rank, and a verified</w:t>
      </w:r>
      <w:r>
        <w:t xml:space="preserve"> </w:t>
      </w:r>
      <w:r>
        <w:t xml:space="preserve">instance on six production models.</w:t>
      </w:r>
    </w:p>
    <w:bookmarkEnd w:id="16"/>
    <w:bookmarkStart w:id="17" w:name="sec:related-taskdep"/>
    <w:p>
      <w:pPr>
        <w:pStyle w:val="Heading2"/>
      </w:pPr>
      <w:r>
        <w:t xml:space="preserve">Task-dependence and context degradation</w:t>
      </w:r>
    </w:p>
    <w:p>
      <w:pPr>
        <w:pStyle w:val="FirstParagraph"/>
      </w:pPr>
      <w:r>
        <w:t xml:space="preserve">That added context can degrade performance is by now well documented: a single irrelevant</w:t>
      </w:r>
      <w:r>
        <w:t xml:space="preserve"> </w:t>
      </w:r>
      <w:r>
        <w:t xml:space="preserve">sentence tanks reasoning </w:t>
      </w:r>
      <w:r>
        <w:t xml:space="preserve">(F. Shi et al. 2023)</w:t>
      </w:r>
      <w:r>
        <w:t xml:space="preserve">; position matters </w:t>
      </w:r>
      <w:r>
        <w:t xml:space="preserve">(Liu et al. 2024)</w:t>
      </w:r>
      <w:r>
        <w:t xml:space="preserve">;</w:t>
      </w:r>
      <w:r>
        <w:t xml:space="preserve"> </w:t>
      </w:r>
      <w:r>
        <w:t xml:space="preserve">high-scoring distractors hurt while random noise can help </w:t>
      </w:r>
      <w:r>
        <w:t xml:space="preserve">(Cuconasu et al. 2024)</w:t>
      </w:r>
      <w:r>
        <w:t xml:space="preserve">; retrieval</w:t>
      </w:r>
      <w:r>
        <w:t xml:space="preserve"> </w:t>
      </w:r>
      <w:r>
        <w:t xml:space="preserve">curves are inverted-U in passage count </w:t>
      </w:r>
      <w:r>
        <w:t xml:space="preserve">(Jin et al. 2024)</w:t>
      </w:r>
      <w:r>
        <w:t xml:space="preserve">; document count hurts at fixed</w:t>
      </w:r>
      <w:r>
        <w:t xml:space="preserve"> </w:t>
      </w:r>
      <w:r>
        <w:t xml:space="preserve">length </w:t>
      </w:r>
      <w:r>
        <w:t xml:space="preserve">(Levy et al. 2025)</w:t>
      </w:r>
      <w:r>
        <w:t xml:space="preserve">; added length alone hurts </w:t>
      </w:r>
      <w:r>
        <w:t xml:space="preserve">(Du et al. 2025)</w:t>
      </w:r>
      <w:r>
        <w:t xml:space="preserve">; and the effect</w:t>
      </w:r>
      <w:r>
        <w:t xml:space="preserve"> </w:t>
      </w:r>
      <w:r>
        <w:t xml:space="preserve">persists across model generations </w:t>
      </w:r>
      <w:r>
        <w:t xml:space="preserve">(Hong et al. 2025)</w:t>
      </w:r>
      <w:r>
        <w:t xml:space="preserve"> </w:t>
      </w:r>
      <w:r>
        <w:t xml:space="preserve">and agent-scaffold</w:t>
      </w:r>
      <w:r>
        <w:t xml:space="preserve"> </w:t>
      </w:r>
      <w:r>
        <w:t xml:space="preserve">components </w:t>
      </w:r>
      <w:r>
        <w:t xml:space="preserve">(Liu 2026)</w:t>
      </w:r>
      <w:r>
        <w:t xml:space="preserve">. The genus is older than language models: in data</w:t>
      </w:r>
      <w:r>
        <w:t xml:space="preserve"> </w:t>
      </w:r>
      <w:r>
        <w:t xml:space="preserve">integration, adding sources raises coverage while integration quality first rises and then</w:t>
      </w:r>
      <w:r>
        <w:t xml:space="preserve"> </w:t>
      </w:r>
      <w:r>
        <w:t xml:space="preserve">falls, so that</w:t>
      </w:r>
      <w:r>
        <w:t xml:space="preserve"> </w:t>
      </w:r>
      <w:r>
        <w:t xml:space="preserve">“less is more”</w:t>
      </w:r>
      <w:r>
        <w:t xml:space="preserve">: low-quality sources deteriorate the fused result rather than</w:t>
      </w:r>
      <w:r>
        <w:t xml:space="preserve"> </w:t>
      </w:r>
      <w:r>
        <w:t xml:space="preserve">bringing the expected gain, and the right move is to select a subset before</w:t>
      </w:r>
      <w:r>
        <w:t xml:space="preserve"> </w:t>
      </w:r>
      <w:r>
        <w:t xml:space="preserve">integrating </w:t>
      </w:r>
      <w:r>
        <w:t xml:space="preserve">(Dong et al. 2012)</w:t>
      </w:r>
      <w:r>
        <w:t xml:space="preserve">; the lesson has since been carried explicitly to augmented language</w:t>
      </w:r>
      <w:r>
        <w:t xml:space="preserve"> </w:t>
      </w:r>
      <w:r>
        <w:t xml:space="preserve">models </w:t>
      </w:r>
      <w:r>
        <w:t xml:space="preserve">(Halevy and Dwivedi-Yu 2023)</w:t>
      </w:r>
      <w:r>
        <w:t xml:space="preserve">. We do not claim to discover this genus. Two differences locate</w:t>
      </w:r>
      <w:r>
        <w:t xml:space="preserve"> </w:t>
      </w:r>
      <w:r>
        <w:t xml:space="preserve">our finding inside it. Where data integration traces the harm to low-quality sources and restores</w:t>
      </w:r>
      <w:r>
        <w:t xml:space="preserve"> </w:t>
      </w:r>
      <w:r>
        <w:t xml:space="preserve">monotonicity by redesigning the fusion rule, our two sources are individually correct and</w:t>
      </w:r>
      <w:r>
        <w:t xml:space="preserve"> </w:t>
      </w:r>
      <w:r>
        <w:t xml:space="preserve">sufficient, the harm survives gross-length, block-order and formatting controls on the one model</w:t>
      </w:r>
      <w:r>
        <w:t xml:space="preserve"> </w:t>
      </w:r>
      <w:r>
        <w:t xml:space="preserve">where those controls were run and is consistent with convention routing, and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fixed model that cannot be redesigned, so the response is</w:t>
      </w:r>
      <w:r>
        <w:t xml:space="preserve"> </w:t>
      </w:r>
      <w:r>
        <w:t xml:space="preserve">selection rather than fusion. And where</w:t>
      </w:r>
      <w:r>
        <w:t xml:space="preserve"> </w:t>
      </w:r>
      <w:r>
        <w:t xml:space="preserve">“interference”</w:t>
      </w:r>
      <w:r>
        <w:t xml:space="preserve"> </w:t>
      </w:r>
      <w:r>
        <w:t xml:space="preserve">in the mechanistic RAG literature means</w:t>
      </w:r>
      <w:r>
        <w:t xml:space="preserve"> </w:t>
      </w:r>
      <w:r>
        <w:t xml:space="preserve">distractor passages steering a model, a failure recently localized and corrected in a sparse</w:t>
      </w:r>
      <w:r>
        <w:t xml:space="preserve"> </w:t>
      </w:r>
      <w:r>
        <w:t xml:space="preserve">feature space </w:t>
      </w:r>
      <w:r>
        <w:t xml:space="preserve">(Giannetti et al. 2026)</w:t>
      </w:r>
      <w:r>
        <w:t xml:space="preserve">, and inter-context</w:t>
      </w:r>
      <w:r>
        <w:t xml:space="preserve"> </w:t>
      </w:r>
      <w:r>
        <w:rPr>
          <w:i/>
          <w:iCs/>
        </w:rPr>
        <w:t xml:space="preserve">conflict</w:t>
      </w:r>
      <w:r>
        <w:t xml:space="preserve"> </w:t>
      </w:r>
      <w:r>
        <w:t xml:space="preserve">means contexts</w:t>
      </w:r>
      <w:r>
        <w:t xml:space="preserve"> </w:t>
      </w:r>
      <w:r>
        <w:t xml:space="preserve">that contradict each other </w:t>
      </w:r>
      <w:r>
        <w:t xml:space="preserve">(Xu et al. 2024)</w:t>
      </w:r>
      <w:r>
        <w:t xml:space="preserve">, our sources neither distract nor</w:t>
      </w:r>
      <w:r>
        <w:t xml:space="preserve"> </w:t>
      </w:r>
      <w:r>
        <w:t xml:space="preserve">conflict: both are true and both are needed, and the superset still collapses. Our</w:t>
      </w:r>
      <w:r>
        <w:t xml:space="preserve"> </w:t>
      </w:r>
      <w:r>
        <w:t xml:space="preserve">anti-monotonicity finding contributes the order-theoretic form of this: a strict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of</w:t>
      </w:r>
      <w:r>
        <w:t xml:space="preserve"> </w:t>
      </w:r>
      <w:r>
        <w:t xml:space="preserve">a sufficient source, on sources separately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Blackwell-incomparable, collapses PASS</w:t>
      </w:r>
      <w:r>
        <w:t xml:space="preserve"> </w:t>
      </w:r>
      <w:r>
        <w:t xml:space="preserve">under a per-task verification of the direct contrast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: a reversal no</w:t>
      </w:r>
      <w:r>
        <w:t xml:space="preserve"> </w:t>
      </w:r>
      <w:r>
        <w:t xml:space="preserve">monotone context-value scalar can carry. A representation-level account of when context</w:t>
      </w:r>
      <w:r>
        <w:t xml:space="preserve"> </w:t>
      </w:r>
      <w:r>
        <w:t xml:space="preserve">helps, an additive error decomposition with alignment conditions </w:t>
      </w:r>
      <w:r>
        <w:t xml:space="preserve">(Wang et al. 2026)</w:t>
      </w:r>
      <w:r>
        <w:t xml:space="preserve">, is</w:t>
      </w:r>
      <w:r>
        <w:t xml:space="preserve"> </w:t>
      </w:r>
      <w:r>
        <w:t xml:space="preserve">complementary: even in its multi-context extension it characterizes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context</w:t>
      </w:r>
      <w:r>
        <w:t xml:space="preserve"> </w:t>
      </w:r>
      <w:r>
        <w:t xml:space="preserve">corrects the error, not an order relation between candidate sources. Pareto-incomparability of prompts along competing metrics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</w:t>
      </w:r>
      <w:r>
        <w:t xml:space="preserve"> </w:t>
      </w:r>
      <w:r>
        <w:t xml:space="preserve">task </w:t>
      </w:r>
      <w:r>
        <w:t xml:space="preserve">(Zhao et al. 2025)</w:t>
      </w:r>
      <w:r>
        <w:t xml:space="preserve"> </w:t>
      </w:r>
      <w:r>
        <w:t xml:space="preserve">is orthogonal to our object, incomparable</w:t>
      </w:r>
      <w:r>
        <w:t xml:space="preserve"> </w:t>
      </w:r>
      <w:r>
        <w:rPr>
          <w:i/>
          <w:iCs/>
        </w:rPr>
        <w:t xml:space="preserve">sources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tasks</w:t>
      </w:r>
      <w:r>
        <w:t xml:space="preserve">.</w:t>
      </w:r>
    </w:p>
    <w:bookmarkEnd w:id="17"/>
    <w:bookmarkStart w:id="20" w:name="sec:related-deficiency"/>
    <w:p>
      <w:pPr>
        <w:pStyle w:val="Heading2"/>
      </w:pPr>
      <w:r>
        <w:t xml:space="preserve">The comparison of experiments in machine learning</w:t>
      </w:r>
    </w:p>
    <w:p>
      <w:pPr>
        <w:pStyle w:val="FirstParagraph"/>
      </w:pPr>
      <w:bookmarkStart w:id="18" w:name="sec:related-llmrep"/>
      <w:bookmarkEnd w:id="18"/>
      <w:bookmarkStart w:id="19" w:name="sec:related-foundations"/>
      <w:bookmarkEnd w:id="19"/>
    </w:p>
    <w:p>
      <w:pPr>
        <w:pStyle w:val="BodyText"/>
      </w:pPr>
      <w:r>
        <w:t xml:space="preserve">The Blackwell–Le Cam apparatus has entered machine learning and, concurrently with this work,</w:t>
      </w:r>
      <w:r>
        <w:t xml:space="preserve"> </w:t>
      </w:r>
      <w:r>
        <w:t xml:space="preserve">inference-time context selection itself.</w:t>
      </w:r>
      <w:r>
        <w:t xml:space="preserve"> </w:t>
      </w:r>
      <w:r>
        <w:t xml:space="preserve">Alpila (2026a)</w:t>
      </w:r>
      <w:r>
        <w:t xml:space="preserve"> </w:t>
      </w:r>
      <w:r>
        <w:t xml:space="preserve">formalizes the admission problem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frozen decoder</w:t>
      </w:r>
      <w:r>
        <w:t xml:space="preserve"> </w:t>
      </w:r>
      <w:r>
        <w:t xml:space="preserve">as minimization of Le Cam deficiency, pairs it with the</w:t>
      </w:r>
      <w:r>
        <w:t xml:space="preserve"> </w:t>
      </w:r>
      <w:r>
        <w:t xml:space="preserve">Vereshchagin–Vitányi conditional structure function for the representation problem, proves a</w:t>
      </w:r>
      <w:r>
        <w:t xml:space="preserve"> </w:t>
      </w:r>
      <w:r>
        <w:t xml:space="preserve">capacity floor below which the deficiency cannot be driven, and validates a curve-aware allocator</w:t>
      </w:r>
      <w:r>
        <w:t xml:space="preserve"> </w:t>
      </w:r>
      <w:r>
        <w:t xml:space="preserve">on seven decoders in four families; a plain-language companion states the</w:t>
      </w:r>
      <w:r>
        <w:t xml:space="preserve"> </w:t>
      </w:r>
      <w:r>
        <w:t xml:space="preserve">framing </w:t>
      </w:r>
      <w:r>
        <w:t xml:space="preserve">(Alpila 2026b)</w:t>
      </w:r>
      <w:r>
        <w:t xml:space="preserve"> </w:t>
      </w:r>
      <w:r>
        <w:t xml:space="preserve">and the artifact is released </w:t>
      </w:r>
      <w:r>
        <w:t xml:space="preserve">(Alpila 2026c)</w:t>
      </w:r>
      <w:r>
        <w:t xml:space="preserve">. Our</w:t>
      </w:r>
      <w:r>
        <w:t xml:space="preserve"> </w:t>
      </w:r>
      <w:r>
        <w:t xml:space="preserve">object is different, the order</w:t>
      </w:r>
      <w:r>
        <w:t xml:space="preserve"> </w:t>
      </w:r>
      <w:r>
        <w:rPr>
          <w:i/>
          <w:iCs/>
        </w:rPr>
        <w:t xml:space="preserve">between two admitted sources across tasks</w:t>
      </w:r>
      <w:r>
        <w:t xml:space="preserve">: we show it is partial by</w:t>
      </w:r>
      <w:r>
        <w:t xml:space="preserve"> </w:t>
      </w:r>
      <w:r>
        <w:rPr>
          <w:i/>
          <w:iCs/>
        </w:rPr>
        <w:t xml:space="preserve">measuring</w:t>
      </w:r>
      <w:r>
        <w:t xml:space="preserve"> </w:t>
      </w:r>
      <w:r>
        <w:t xml:space="preserve">mutual non-domination, derive that no single per-source score can be faithful to it, and verify a</w:t>
      </w:r>
      <w:r>
        <w:t xml:space="preserve"> </w:t>
      </w:r>
      <w:r>
        <w:t xml:space="preserve">strict superset of a sufficient source collapsing PASS, with gross-length, block-order and routing</w:t>
      </w:r>
      <w:r>
        <w:t xml:space="preserve"> </w:t>
      </w:r>
      <w:r>
        <w:t xml:space="preserve">controls run on one model, not every confound excluded. Incomparability in this sense</w:t>
      </w:r>
      <w:r>
        <w:t xml:space="preserve"> </w:t>
      </w:r>
      <w:r>
        <w:t xml:space="preserve">cannot arise inside a single declared decision problem, so its absence there is a different</w:t>
      </w:r>
      <w:r>
        <w:t xml:space="preserve"> </w:t>
      </w:r>
      <w:r>
        <w:t xml:space="preserve">question rather than a gap.</w:t>
      </w:r>
    </w:p>
    <w:p>
      <w:pPr>
        <w:pStyle w:val="BodyText"/>
      </w:pPr>
      <w:r>
        <w:t xml:space="preserve">A second line is training-</w:t>
      </w:r>
      <w:r>
        <w:rPr>
          <w:i/>
          <w:iCs/>
        </w:rPr>
        <w:t xml:space="preserve">dataset</w:t>
      </w:r>
      <w:r>
        <w:t xml:space="preserve"> </w:t>
      </w:r>
      <w:r>
        <w:t xml:space="preserve">valuation.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order datasets by</w:t>
      </w:r>
      <w:r>
        <w:t xml:space="preserve"> </w:t>
      </w:r>
      <w:r>
        <w:t xml:space="preserve">Blackwell informativeness and show that the mutual information between the curated and the test</w:t>
      </w:r>
      <w:r>
        <w:t xml:space="preserve"> </w:t>
      </w:r>
      <w:r>
        <w:t xml:space="preserve">data is a</w:t>
      </w:r>
      <w:r>
        <w:t xml:space="preserve"> </w:t>
      </w:r>
      <w:r>
        <w:rPr>
          <w:i/>
          <w:iCs/>
        </w:rPr>
        <w:t xml:space="preserve">strategy-proof</w:t>
      </w:r>
      <w:r>
        <w:t xml:space="preserve"> </w:t>
      </w:r>
      <w:r>
        <w:t xml:space="preserve">score: a curation step that garbles the data, so that</w:t>
      </w:r>
      <w:r>
        <w:t xml:space="preserve"> </w:t>
      </w:r>
      <m:oMath>
        <m:r>
          <m:t>θ</m:t>
        </m:r>
        <m:r>
          <m:rPr>
            <m:sty m:val="p"/>
          </m:rPr>
          <m:t>→</m:t>
        </m:r>
        <m:r>
          <m:t>D</m:t>
        </m:r>
        <m:r>
          <m:rPr>
            <m:sty m:val="p"/>
          </m:rPr>
          <m:t>→</m:t>
        </m:r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a Markov chain, cannot raise it. That is the data-processing direction,</w:t>
      </w:r>
      <w:r>
        <w:t xml:space="preserve"> </w:t>
      </w:r>
      <w:r>
        <w:t xml:space="preserve">and it is one-directional; a scalar can be monotone along the order without representing it, so</w:t>
      </w:r>
      <w:r>
        <w:t xml:space="preserve"> </w:t>
      </w:r>
      <w:r>
        <w:t xml:space="preserve">their result is compatible with ours rather than opposed to it. Their comparison is also taken</w:t>
      </w:r>
      <w:r>
        <w:t xml:space="preserve"> </w:t>
      </w:r>
      <w:r>
        <w:t xml:space="preserve">against the Bayes-optimal user of the data, ours against a fixed model rule on a task family. What</w:t>
      </w:r>
      <w:r>
        <w:t xml:space="preserve"> </w:t>
      </w:r>
      <w:r>
        <w:t xml:space="preserve">Theorem 2 adds is the converse question, whether any query-independent scalar</w:t>
      </w:r>
      <w:r>
        <w:t xml:space="preserve"> </w:t>
      </w:r>
      <w:r>
        <w:t xml:space="preserve">can be</w:t>
      </w:r>
      <w:r>
        <w:t xml:space="preserve"> </w:t>
      </w:r>
      <w:r>
        <w:rPr>
          <w:i/>
          <w:iCs/>
        </w:rPr>
        <w:t xml:space="preserve">faithful</w:t>
      </w:r>
      <w:r>
        <w:t xml:space="preserve"> </w:t>
      </w:r>
      <w:r>
        <w:t xml:space="preserve">to the order, which a monotone score need not be once the order is partial.</w:t>
      </w:r>
      <w:r>
        <w:t xml:space="preserve"> </w:t>
      </w:r>
      <w:r>
        <w:t xml:space="preserve">Nearby uses stop short of what we do: garbling to harden LLM</w:t>
      </w:r>
      <w:r>
        <w:t xml:space="preserve"> </w:t>
      </w:r>
      <w:r>
        <w:t xml:space="preserve">evaluations </w:t>
      </w:r>
      <w:r>
        <w:t xml:space="preserve">(Bradley 2024)</w:t>
      </w:r>
      <w:r>
        <w:t xml:space="preserve">, statistical deficiency to order training</w:t>
      </w:r>
      <w:r>
        <w:t xml:space="preserve"> </w:t>
      </w:r>
      <w:r>
        <w:rPr>
          <w:i/>
          <w:iCs/>
        </w:rPr>
        <w:t xml:space="preserve">tasks</w:t>
      </w:r>
      <w:r>
        <w:t xml:space="preserve"> </w:t>
      </w:r>
      <w:r>
        <w:t xml:space="preserve">(Fosse et al. 2025)</w:t>
      </w:r>
      <w:r>
        <w:t xml:space="preserve">, a deficiency-induced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dominance in transfer</w:t>
      </w:r>
      <w:r>
        <w:t xml:space="preserve"> </w:t>
      </w:r>
      <w:r>
        <w:t xml:space="preserve">learning (no incomparability, no distribution-free bound, outside language</w:t>
      </w:r>
      <w:r>
        <w:t xml:space="preserve"> </w:t>
      </w:r>
      <w:r>
        <w:t xml:space="preserve">modeling) </w:t>
      </w:r>
      <w:r>
        <w:t xml:space="preserve">(Akdemir 2025)</w:t>
      </w:r>
      <w:r>
        <w:t xml:space="preserve">, comparison-of-experiments ideas in loss</w:t>
      </w:r>
      <w:r>
        <w:t xml:space="preserve"> </w:t>
      </w:r>
      <w:r>
        <w:t xml:space="preserve">design </w:t>
      </w:r>
      <w:r>
        <w:t xml:space="preserve">(Rooyen and Williamson 2014)</w:t>
      </w:r>
      <w:r>
        <w:t xml:space="preserve">, and a survey of Blackwell’s theorems for</w:t>
      </w:r>
      <w:r>
        <w:t xml:space="preserve"> </w:t>
      </w:r>
      <w:r>
        <w:t xml:space="preserve">AI </w:t>
      </w:r>
      <w:r>
        <w:t xml:space="preserve">(Paxton 2026)</w:t>
      </w:r>
      <w:r>
        <w:t xml:space="preserve">. Another inference-time application sits on the other side of the</w:t>
      </w:r>
      <w:r>
        <w:t xml:space="preserve"> </w:t>
      </w:r>
      <w:r>
        <w:t xml:space="preserve">model:</w:t>
      </w:r>
      <w:r>
        <w:t xml:space="preserve"> </w:t>
      </w:r>
      <w:r>
        <w:t xml:space="preserve">Z. Zhang et al. (2026)</w:t>
      </w:r>
      <w:r>
        <w:t xml:space="preserve"> </w:t>
      </w:r>
      <w:r>
        <w:t xml:space="preserve">rank the information structures</w:t>
      </w:r>
      <w:r>
        <w:t xml:space="preserve"> </w:t>
      </w:r>
      <w:r>
        <w:t xml:space="preserve">induced by multi-agent protocols, showing that voting and debate are no more informative than the</w:t>
      </w:r>
      <w:r>
        <w:t xml:space="preserve"> </w:t>
      </w:r>
      <w:r>
        <w:t xml:space="preserve">agents’ pooled private information and identifying Bayesian pooled-posterior maximisation as the</w:t>
      </w:r>
      <w:r>
        <w:t xml:space="preserve"> </w:t>
      </w:r>
      <w:r>
        <w:t xml:space="preserve">Blackwell upper bound on any such protocol. That is a dominance statement about how several</w:t>
      </w:r>
      <w:r>
        <w:t xml:space="preserve"> </w:t>
      </w:r>
      <w:r>
        <w:t xml:space="preserve">models’ signals combine; ours is an incomparability statement about which single source one model</w:t>
      </w:r>
      <w:r>
        <w:t xml:space="preserve"> </w:t>
      </w:r>
      <w:r>
        <w:t xml:space="preserve">is given, so the two orders are taken over different objects and neither implies the other.</w:t>
      </w:r>
    </w:p>
    <w:bookmarkEnd w:id="20"/>
    <w:bookmarkStart w:id="21" w:name="sec:related-designspace"/>
    <w:p>
      <w:pPr>
        <w:pStyle w:val="Heading2"/>
      </w:pPr>
      <w:r>
        <w:t xml:space="preserve">Where the two results land in the design space</w:t>
      </w:r>
    </w:p>
    <w:p>
      <w:pPr>
        <w:pStyle w:val="FirstParagraph"/>
      </w:pPr>
      <w:r>
        <w:t xml:space="preserve">Sorting the methods above on three axes, whether a method is cheap enough to run at retrieval</w:t>
      </w:r>
      <w:r>
        <w:t xml:space="preserve"> </w:t>
      </w:r>
      <w:r>
        <w:t xml:space="preserve">scale, whether it conditions on the task, and whether it can represent a non-dominated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rather than a ranking, makes the pattern uniform. Every method cheap enough to precompute emits</w:t>
      </w:r>
      <w:r>
        <w:t xml:space="preserve"> </w:t>
      </w:r>
      <w:r>
        <w:t xml:space="preserve">one number per item, however that number is produced: late interaction over multi-vector</w:t>
      </w:r>
      <w:r>
        <w:t xml:space="preserve"> </w:t>
      </w:r>
      <w:r>
        <w:t xml:space="preserve">representations </w:t>
      </w:r>
      <w:r>
        <w:t xml:space="preserve">(Khattab and Zaharia 2020)</w:t>
      </w:r>
      <w:r>
        <w:t xml:space="preserve"> </w:t>
      </w:r>
      <w:r>
        <w:t xml:space="preserve">and retrievers supervised by the language model</w:t>
      </w:r>
      <w:r>
        <w:t xml:space="preserve"> </w:t>
      </w:r>
      <w:r>
        <w:t xml:space="preserve">itself </w:t>
      </w:r>
      <w:r>
        <w:t xml:space="preserve">(Guu et al. 2020; W. Shi et al. 2023)</w:t>
      </w:r>
      <w:r>
        <w:t xml:space="preserve"> </w:t>
      </w:r>
      <w:r>
        <w:t xml:space="preserve">are scored per item no less than lexical relevance is.</w:t>
      </w:r>
      <w:r>
        <w:t xml:space="preserve"> </w:t>
      </w:r>
      <w:r>
        <w:t xml:space="preserve">All of them therefore fall under Theorem 2 when that number is fixed across</w:t>
      </w:r>
      <w:r>
        <w:t xml:space="preserve"> </w:t>
      </w:r>
      <w:r>
        <w:t xml:space="preserve">tasks. The methods that escape do so either by reading the decisive content per candidate, which</w:t>
      </w:r>
      <w:r>
        <w:t xml:space="preserve"> </w:t>
      </w:r>
      <w:r>
        <w:t xml:space="preserve">costs a model call, or by routing on public task metadata, which</w:t>
      </w:r>
      <w:r>
        <w:t xml:space="preserve"> </w:t>
      </w:r>
      <w:r>
        <w:t xml:space="preserve">Proposition 2 does not exclude (Remark 6). No prior</w:t>
      </w:r>
      <w:r>
        <w:t xml:space="preserve"> </w:t>
      </w:r>
      <w:r>
        <w:t xml:space="preserve">family is both cheap and faithful to the partial order; that empty cell is the open problem this</w:t>
      </w:r>
      <w:r>
        <w:t xml:space="preserve"> </w:t>
      </w:r>
      <w:r>
        <w:t xml:space="preserve">paper isolates; the verified non-dominated set pays probe cost to sit in it, and what that cost</w:t>
      </w:r>
      <w:r>
        <w:t xml:space="preserve"> </w:t>
      </w:r>
      <w:r>
        <w:t xml:space="preserve">buys is a verified relation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candidates, not a guarantee about any selector</w:t>
      </w:r>
      <w:r>
        <w:t xml:space="preserve"> </w:t>
      </w:r>
      <w:r>
        <w:t xml:space="preserve">built on the set.</w:t>
      </w:r>
    </w:p>
    <w:bookmarkEnd w:id="21"/>
    <w:bookmarkEnd w:id="22"/>
    <w:bookmarkStart w:id="30" w:name="sec:formalization"/>
    <w:p>
      <w:pPr>
        <w:pStyle w:val="Heading1"/>
      </w:pPr>
      <w:r>
        <w:t xml:space="preserve">Formalization</w:t>
      </w:r>
    </w:p>
    <w:p>
      <w:pPr>
        <w:pStyle w:val="FirstParagraph"/>
      </w:pPr>
      <w:r>
        <w:t xml:space="preserve">We model the choice of</w:t>
      </w:r>
      <w:r>
        <w:t xml:space="preserve"> </w:t>
      </w:r>
      <w:r>
        <w:rPr>
          <w:i/>
          <w:iCs/>
        </w:rPr>
        <w:t xml:space="preserve">what context to supply</w:t>
      </w:r>
      <w:r>
        <w:t xml:space="preserve"> </w:t>
      </w:r>
      <w:r>
        <w:t xml:space="preserve">a language model as a comparison of</w:t>
      </w:r>
      <w:r>
        <w:t xml:space="preserve"> </w:t>
      </w:r>
      <w:r>
        <w:t xml:space="preserve">statistical experiments on the task’s latent requirement. This section fixes the objects and</w:t>
      </w:r>
      <w:r>
        <w:t xml:space="preserve"> </w:t>
      </w:r>
      <w:r>
        <w:t xml:space="preserve">separates two decision rules that the informal literature silently conflates: the</w:t>
      </w:r>
      <w:r>
        <w:t xml:space="preserve"> </w:t>
      </w:r>
      <w:r>
        <w:rPr>
          <w:i/>
          <w:iCs/>
        </w:rPr>
        <w:t xml:space="preserve">Bayes-optimal</w:t>
      </w:r>
      <w:r>
        <w:t xml:space="preserve"> </w:t>
      </w:r>
      <w:r>
        <w:t xml:space="preserve">rule, against which the classical Blackwell order is defined, and the</w:t>
      </w:r>
      <w:r>
        <w:t xml:space="preserve"> </w:t>
      </w:r>
      <w:r>
        <w:rPr>
          <w:i/>
          <w:iCs/>
        </w:rPr>
        <w:t xml:space="preserve">fixed model</w:t>
      </w:r>
      <w:r>
        <w:t xml:space="preserve"> </w:t>
      </w:r>
      <w:r>
        <w:t xml:space="preserve">rule, which every empirical quantity in this paper measures.</w:t>
      </w:r>
    </w:p>
    <w:bookmarkStart w:id="26" w:name="X73e69b8a1a604fddcc6e5ed9b89d5c624a51ec4"/>
    <w:p>
      <w:pPr>
        <w:pStyle w:val="Heading2"/>
      </w:pPr>
      <w:r>
        <w:t xml:space="preserve">Tasks, latent requirements, and context sources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fixes a latent requirement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the object a deterministic verifier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checks (e.g. the intended program behaviour). We take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</w:t>
      </w:r>
      <w:r>
        <w:t xml:space="preserve"> </w:t>
      </w:r>
      <w:r>
        <w:rPr>
          <w:i/>
          <w:iCs/>
        </w:rPr>
        <w:t xml:space="preserve">vector of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cr m:val="script"/>
              <m:sty m:val="p"/>
            </m:rPr>
            <m:t>S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encodes one logically independent requirement. Modelling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product of coordinates rather than an opaque atom is what makes the experiment model well posed</w:t>
      </w:r>
      <w:r>
        <w:t xml:space="preserve"> </w:t>
      </w:r>
      <w:r>
        <w:t xml:space="preserve">for fixed-string sources (Section 3.2, Lemma 1).</w:t>
      </w:r>
    </w:p>
    <w:bookmarkStart w:id="23" w:name="def:source"/>
    <w:p>
      <w:pPr>
        <w:pStyle w:val="BodyText"/>
      </w:pPr>
      <w:r>
        <w:rPr>
          <w:b/>
          <w:bCs/>
        </w:rPr>
        <w:t xml:space="preserve">Definition 1</w:t>
      </w:r>
      <w:r>
        <w:t xml:space="preserve"> </w:t>
      </w:r>
      <w:r>
        <w:t xml:space="preserve">(Context source as an experiment).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context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 Markov kernel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 a statistical experiment indexed by the latent parameter</w:t>
      </w:r>
      <w:r>
        <w:t xml:space="preserve"> </w:t>
      </w:r>
      <m:oMath>
        <m:r>
          <m:t>S</m:t>
        </m:r>
      </m:oMath>
      <w:r>
        <w:t xml:space="preserve">, emitting a signal</w:t>
      </w:r>
      <w:r>
        <w:t xml:space="preserve"> </w:t>
      </w:r>
      <m:oMath>
        <m:r>
          <m:t>w</m:t>
        </m:r>
        <m:r>
          <m:rPr>
            <m:sty m:val="p"/>
          </m:rPr>
          <m:t>∼</m:t>
        </m:r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 a signal alphabet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(the source’s text). The</w:t>
      </w:r>
      <w:r>
        <w:t xml:space="preserve"> </w:t>
      </w:r>
      <w:r>
        <w:t xml:space="preserve">experiment is identified with its kernel; the sample space is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and the observed</w:t>
      </w:r>
      <w:r>
        <w:t xml:space="preserve"> </w:t>
      </w:r>
      <w:r>
        <w:t xml:space="preserve">datum is the supplied text</w:t>
      </w:r>
      <w:r>
        <w:t xml:space="preserve"> </w:t>
      </w:r>
      <m:oMath>
        <m:r>
          <m:t>w</m:t>
        </m:r>
      </m:oMath>
      <w:r>
        <w:t xml:space="preserve">.</w:t>
      </w:r>
    </w:p>
    <w:bookmarkEnd w:id="23"/>
    <w:bookmarkStart w:id="24" w:name="def:decision"/>
    <w:p>
      <w:pPr>
        <w:pStyle w:val="BodyText"/>
      </w:pPr>
      <w:r>
        <w:rPr>
          <w:b/>
          <w:bCs/>
        </w:rPr>
        <w:t xml:space="preserve">Definition 2</w:t>
      </w:r>
      <w:r>
        <w:t xml:space="preserve"> </w:t>
      </w:r>
      <w:r>
        <w:t xml:space="preserve">(Decision rules and PASS).</w:t>
      </w:r>
      <w:r>
        <w:t xml:space="preserve"> 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decision rule</w:t>
      </w:r>
      <w:r>
        <w:t xml:space="preserve"> </w:t>
      </w:r>
      <w:r>
        <w:t xml:space="preserve">is a (possibly randomized) map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↦</m:t>
        </m:r>
        <m:acc>
          <m:accPr>
            <m:chr m:val="̂"/>
          </m:accPr>
          <m:e>
            <m:r>
              <m:t>S</m:t>
            </m:r>
          </m:e>
        </m:acc>
      </m:oMath>
      <w:r>
        <w:t xml:space="preserve"> </w:t>
      </w:r>
      <w:r>
        <w:t xml:space="preserve">producing a candidate solution. Utility is the binary verifier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which scores the candidate against the convention in force: the same answer</w:t>
      </w:r>
      <w:r>
        <w:t xml:space="preserve"> </w:t>
      </w:r>
      <w:r>
        <w:t xml:space="preserve">passes under one convention and fails under another, which is why the second argument cannot be</w:t>
      </w:r>
      <w:r>
        <w:t xml:space="preserve"> </w:t>
      </w:r>
      <w:r>
        <w:t xml:space="preserve">dropped. Two decision rules matter: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realized by a fixed language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fixed</w:t>
      </w:r>
      <w:r>
        <w:t xml:space="preserve"> </w:t>
      </w:r>
      <w:r>
        <w:t xml:space="preserve">decoding configuration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(model weights and sampling parameters; see</w:t>
      </w:r>
      <w:r>
        <w:t xml:space="preserve"> </w:t>
      </w:r>
      <w:r>
        <w:t xml:space="preserve">Section 3.3). Its realized pass rate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;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single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, which is</w:t>
      </w:r>
      <w:r>
        <w:t xml:space="preserve"> </w:t>
      </w:r>
      <w:r>
        <w:t xml:space="preserve">the quantity every measurement in this paper reports;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Bayes rule</w:t>
      </w:r>
      <w:r>
        <w:t xml:space="preserve"> </w:t>
      </w:r>
      <m:oMath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, the utility-optimal rule for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under a prior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(the task family’s distribution over private conventions),</w:t>
      </w:r>
      <w:r>
        <w:t xml:space="preserve"> </w:t>
      </w:r>
      <w:r>
        <w:t xml:space="preserve">achieving the optimal value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δ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</m:sub>
          </m:sSub>
          <m:r>
            <m:t> 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S</m:t>
                  </m:r>
                </m:e>
              </m:d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∼</m:t>
          </m:r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:measures"/>
    <w:p>
      <w:pPr>
        <w:pStyle w:val="FirstParagraph"/>
      </w:pPr>
      <w:r>
        <w:rPr>
          <w:i/>
          <w:iCs/>
        </w:rPr>
        <w:t xml:space="preserve">Remark 1</w:t>
      </w:r>
      <w:r>
        <w:t xml:space="preserve"> </w:t>
      </w:r>
      <w:r>
        <w:t xml:space="preserve">(The two quantities are taken under different measures).</w:t>
      </w:r>
      <w:r>
        <w:t xml:space="preserve"> 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(2) is</w:t>
      </w:r>
      <w:r>
        <w:t xml:space="preserve"> </w:t>
      </w:r>
      <w:r>
        <w:rPr>
          <w:i/>
          <w:iCs/>
        </w:rPr>
        <w:t xml:space="preserve">conditional on one latent state</w:t>
      </w:r>
      <w:r>
        <w:t xml:space="preserve">: the expectation runs over</w:t>
      </w:r>
      <w:r>
        <w:t xml:space="preserve"> </w:t>
      </w:r>
      <w:r>
        <w:t xml:space="preserve">the source kernel and the decoder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held at the realized convention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.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t xml:space="preserve">(3) is a</w:t>
      </w:r>
      <w:r>
        <w:t xml:space="preserve"> </w:t>
      </w:r>
      <w:r>
        <w:rPr>
          <w:i/>
          <w:iCs/>
        </w:rPr>
        <w:t xml:space="preserve">Bayes</w:t>
      </w:r>
      <w:r>
        <w:t xml:space="preserve"> </w:t>
      </w:r>
      <w:r>
        <w:t xml:space="preserve">value, averaged over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. Consequently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from optimality, and we never use it in</w:t>
      </w:r>
      <w:r>
        <w:t xml:space="preserve"> </w:t>
      </w:r>
      <w:r>
        <w:t xml:space="preserve">that form. The obstruction is elementary: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fair bit,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uninformative, and let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reward naming</w:t>
      </w:r>
      <w:r>
        <w:t xml:space="preserve"> </w:t>
      </w:r>
      <m:oMath>
        <m:r>
          <m:t>S</m:t>
        </m:r>
      </m:oMath>
      <w:r>
        <w:t xml:space="preserve">; the constant rule</w:t>
      </w:r>
      <w:r>
        <w:t xml:space="preserve"> </w:t>
      </w:r>
      <w:r>
        <w:t xml:space="preserve">“answer</w:t>
      </w:r>
      <w:r>
        <w:t xml:space="preserve"> </w:t>
      </w:r>
      <m:oMath>
        <m:r>
          <m:t>0</m:t>
        </m:r>
      </m:oMath>
      <w:r>
        <w:t xml:space="preserve">”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 the state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Nor can the gap be closed by taking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be a point mass at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: every</w:t>
      </w:r>
      <w:r>
        <w:t xml:space="preserve"> </w:t>
      </w:r>
      <w:r>
        <w:t xml:space="preserve">guessing cap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would then equal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caps of Lemma 2 would lose</w:t>
      </w:r>
      <w:r>
        <w:t xml:space="preserve"> </w:t>
      </w:r>
      <w:r>
        <w:t xml:space="preserve">all content. What optimality does give is the averaged statement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S</m:t>
            </m:r>
            <m:r>
              <m:rPr>
                <m:sty m:val="p"/>
              </m:rPr>
              <m:t>∼</m:t>
            </m:r>
            <m:sSub>
              <m:e>
                <m:r>
                  <m:t>μ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Lemma 2 is</w:t>
      </w:r>
      <w:r>
        <w:t xml:space="preserve"> </w:t>
      </w:r>
      <w:r>
        <w:t xml:space="preserve">therefore proved through the sufficiency of the winning source rather than through any such</w:t>
      </w:r>
      <w:r>
        <w:t xml:space="preserve"> </w:t>
      </w:r>
      <w:r>
        <w:t xml:space="preserve">comparison; the measured pass rates enter its proof nowhere, and neither bound a Bayes value nor</w:t>
      </w:r>
      <w:r>
        <w:t xml:space="preserve"> </w:t>
      </w:r>
      <w:r>
        <w:t xml:space="preserve">estimate a guessing cap.</w:t>
      </w:r>
    </w:p>
    <w:bookmarkEnd w:id="25"/>
    <w:p>
      <w:pPr>
        <w:pStyle w:val="BodyText"/>
      </w:pPr>
      <w:r>
        <w:t xml:space="preserve">The distinction in Definition 2 is load-bearing. Blackwell’s theorem</w:t>
      </w:r>
      <w:r>
        <w:t xml:space="preserve"> </w:t>
      </w:r>
      <w:r>
        <w:t xml:space="preserve">(see Section 4) is a statement about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; every number we report,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, the</w:t>
      </w:r>
      <w:r>
        <w:t xml:space="preserve"> </w:t>
      </w:r>
      <w:r>
        <w:t xml:space="preserve">deficiency estimator of Section 6, the interference statistic of</w:t>
      </w:r>
      <w:r>
        <w:t xml:space="preserve"> </w:t>
      </w:r>
      <w:r>
        <w:t xml:space="preserve">Section 6.3, and the entire six-model program of Section 7, is a</w:t>
      </w:r>
      <w:r>
        <w:t xml:space="preserve"> </w:t>
      </w:r>
      <w:r>
        <w:t xml:space="preserve">statement about the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We therefore develop the order in two</w:t>
      </w:r>
      <w:r>
        <w:t xml:space="preserve"> </w:t>
      </w:r>
      <w:r>
        <w:t xml:space="preserve">registers and prove an explicit bridge between them (Lemma 2).</w:t>
      </w:r>
    </w:p>
    <w:bookmarkEnd w:id="26"/>
    <w:bookmarkStart w:id="28" w:name="subsec:sources"/>
    <w:p>
      <w:pPr>
        <w:pStyle w:val="Heading2"/>
      </w:pPr>
      <w:r>
        <w:t xml:space="preserve">Sources as deterministic projection experiments</w:t>
      </w:r>
    </w:p>
    <w:p>
      <w:pPr>
        <w:pStyle w:val="FirstParagraph"/>
      </w:pPr>
      <w:r>
        <w:t xml:space="preserve">In our instantiation each context source is a</w:t>
      </w:r>
      <w:r>
        <w:t xml:space="preserve"> </w:t>
      </w:r>
      <w:r>
        <w:rPr>
          <w:i/>
          <w:iCs/>
        </w:rPr>
        <w:t xml:space="preserve">fixed string</w:t>
      </w:r>
      <w:r>
        <w:t xml:space="preserve">. Reading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as a constant kernel</w:t>
      </w:r>
      <w:r>
        <w:t xml:space="preserve"> </w:t>
      </w:r>
      <m:oMath>
        <m:sSub>
          <m:e>
            <m:r>
              <m:t>δ</m:t>
            </m:r>
          </m:e>
          <m:sub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degenerate: such a kernel is</w:t>
      </w:r>
      <w:r>
        <w:t xml:space="preserve"> </w:t>
      </w:r>
      <w:r>
        <w:t xml:space="preserve">Blackwell-equivalent to the null experiment, carries zero information, and induces the trivial</w:t>
      </w:r>
      <w:r>
        <w:t xml:space="preserve"> </w:t>
      </w:r>
      <m:oMath>
        <m:r>
          <m:t>σ</m:t>
        </m:r>
      </m:oMath>
      <w:r>
        <w:t xml:space="preserve">-algebra, which would make any garbling argument vacuous. We instead model each fixed</w:t>
      </w:r>
      <w:r>
        <w:t xml:space="preserve"> </w:t>
      </w:r>
      <w:r>
        <w:t xml:space="preserve">source as a</w:t>
      </w:r>
      <w:r>
        <w:t xml:space="preserve"> </w:t>
      </w:r>
      <w:r>
        <w:rPr>
          <w:i/>
          <w:iCs/>
        </w:rPr>
        <w:t xml:space="preserve">deterministic experiment that observes a projection of the 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vector</w:t>
      </w:r>
      <w:r>
        <w:t xml:space="preserve"> (1).</w:t>
      </w:r>
    </w:p>
    <w:bookmarkStart w:id="27" w:name="def:projection"/>
    <w:p>
      <w:pPr>
        <w:pStyle w:val="BodyText"/>
      </w:pPr>
      <w:r>
        <w:rPr>
          <w:b/>
          <w:bCs/>
        </w:rPr>
        <w:t xml:space="preserve">Definition 3</w:t>
      </w:r>
      <w:r>
        <w:t xml:space="preserve"> </w:t>
      </w:r>
      <w:r>
        <w:t xml:space="preserve">(Projection sources).</w:t>
      </w:r>
      <w:r>
        <w:t xml:space="preserve"> </w:t>
      </w:r>
      <w:r>
        <w:t xml:space="preserve"> </w:t>
      </w:r>
      <w:r>
        <w:t xml:space="preserve">A source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reveals the coordinates indexed by a</w:t>
      </w:r>
      <w:r>
        <w:t xml:space="preserve"> </w:t>
      </w:r>
      <w:r>
        <w:t xml:space="preserve">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deterministic kernel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δ</m:t>
              </m:r>
            </m:e>
            <m:sub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i.e. supplying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lets a decision-maker condition on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on nothing outside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sub-</w:t>
      </w:r>
      <m:oMath>
        <m:r>
          <m:t>σ</m:t>
        </m:r>
      </m:oMath>
      <w:r>
        <w:t xml:space="preserve">-algebra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generated by</w:t>
      </w:r>
      <w:r>
        <w:t xml:space="preserve"> </w:t>
      </w:r>
      <w:r>
        <w:t xml:space="preserve">the projection. In our instantiation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coordinate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call contract,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),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wire invariant,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), and 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reveals both (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</w:t>
      </w:r>
    </w:p>
    <w:bookmarkEnd w:id="27"/>
    <w:p>
      <w:pPr>
        <w:pStyle w:val="BodyText"/>
      </w:pPr>
      <w:r>
        <w:t xml:space="preserve">Under Definition 3 the informativeness of a fixed string is exactly the</w:t>
      </w:r>
      <w:r>
        <w:t xml:space="preserve"> </w:t>
      </w:r>
      <w:r>
        <w:t xml:space="preserve">resolving power of its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W</m:t>
            </m:r>
          </m:sub>
        </m:sSub>
      </m:oMath>
      <w:r>
        <w:t xml:space="preserve">. The signal alphabet is the range of the</w:t>
      </w:r>
      <w:r>
        <w:t xml:space="preserve"> </w:t>
      </w:r>
      <w:r>
        <w:t xml:space="preserve">projection, and the text</w:t>
      </w:r>
      <w:r>
        <w:t xml:space="preserve"> </w:t>
      </w:r>
      <w:r>
        <w:t xml:space="preserve">“varies with the task”</w:t>
      </w:r>
      <w:r>
        <w:t xml:space="preserve"> </w:t>
      </w:r>
      <w:r>
        <w:t xml:space="preserve">because the realized coordinate values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differ across task instances</w:t>
      </w:r>
      <w:r>
        <w:t xml:space="preserve"> </w:t>
      </w:r>
      <m:oMath>
        <m:r>
          <m:t>T</m:t>
        </m:r>
      </m:oMath>
      <w:r>
        <w:t xml:space="preserve">. This is what makes the comparison of</w:t>
      </w:r>
      <w:r>
        <w:t xml:space="preserve"> </w:t>
      </w:r>
      <w:r>
        <w:t xml:space="preserve">Section 4 a comparison of experiments rather than a metaphor, and it is what a</w:t>
      </w:r>
      <w:r>
        <w:t xml:space="preserve"> </w:t>
      </w:r>
      <w:r>
        <w:t xml:space="preserve">rigorous treatment of deterministic sources requires </w:t>
      </w:r>
      <w:r>
        <w:t xml:space="preserve">(Torgersen 1991)</w:t>
      </w:r>
      <w:r>
        <w:t xml:space="preserve">.</w:t>
      </w:r>
    </w:p>
    <w:bookmarkEnd w:id="28"/>
    <w:bookmarkStart w:id="29" w:name="subsec:theta"/>
    <w:p>
      <w:pPr>
        <w:pStyle w:val="Heading2"/>
      </w:pPr>
      <w:r>
        <w:t xml:space="preserve">The conditioning parameter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carries an implicit parameter</w:t>
      </w:r>
      <w:r>
        <w:t xml:space="preserve"> </w:t>
      </w:r>
      <m:oMath>
        <m:r>
          <m:t>θ</m:t>
        </m:r>
      </m:oMath>
      <w:r>
        <w:t xml:space="preserve">: the model’s weights and decoding</w:t>
      </w:r>
      <w:r>
        <w:t xml:space="preserve"> </w:t>
      </w:r>
      <w:r>
        <w:t xml:space="preserve">configuration, equivalently its</w:t>
      </w:r>
      <w:r>
        <w:t xml:space="preserve"> </w:t>
      </w:r>
      <w:r>
        <w:rPr>
          <w:i/>
          <w:iCs/>
        </w:rPr>
        <w:t xml:space="preserve">prior over conventions</w:t>
      </w:r>
      <w:r>
        <w:t xml:space="preserve"> </w:t>
      </w:r>
      <w:r>
        <w:t xml:space="preserve">acquired in pretraining. We write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model’s no-context pass rate, for the part of a private convention</w:t>
      </w:r>
      <w:r>
        <w:t xml:space="preserve"> </w:t>
      </w:r>
      <w:r>
        <w:t xml:space="preserve">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 encodes; the value of a source is model-relative through it. 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already</w:t>
      </w:r>
      <w:r>
        <w:t xml:space="preserve"> </w:t>
      </w:r>
      <w:r>
        <w:t xml:space="preserve">“knows”</w:t>
      </w:r>
      <w:r>
        <w:t xml:space="preserve"> </w:t>
      </w:r>
      <w:r>
        <w:t xml:space="preserve">a convention (the model can guess it without the source), that baseline is high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’s marginal contribution collapses; when the convention is genuinely unknown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baseline floors and the source has to carry the cell. We deliberately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write this</w:t>
      </w:r>
      <w:r>
        <w:t xml:space="preserve"> </w:t>
      </w:r>
      <w:r>
        <w:t xml:space="preserve">as a conditional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 under Definitions 1</w:t>
      </w:r>
      <w:r>
        <w:t xml:space="preserve"> </w:t>
      </w:r>
      <w:r>
        <w:t xml:space="preserve">and 2 the law of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sSub>
          <m:e>
            <m:r>
              <m:t>κ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carries no</w:t>
      </w:r>
      <w:r>
        <w:t xml:space="preserve"> </w:t>
      </w:r>
      <m:oMath>
        <m:r>
          <m:t>θ</m:t>
        </m:r>
      </m:oMath>
      <w:r>
        <w:t xml:space="preserve">, so conditioning on a fixed model index would leave the mutual information unchanged and</w:t>
      </w:r>
      <w:r>
        <w:t xml:space="preserve"> </w:t>
      </w:r>
      <w:r>
        <w:t xml:space="preserve">model-</w:t>
      </w:r>
      <w:r>
        <w:rPr>
          <w:i/>
          <w:iCs/>
        </w:rPr>
        <w:t xml:space="preserve">in</w:t>
      </w:r>
      <w:r>
        <w:t xml:space="preserve">dependent, the opposite of what is measured here; a genuinely model-relative</w:t>
      </w:r>
      <w:r>
        <w:t xml:space="preserve"> </w:t>
      </w:r>
      <w:r>
        <w:t xml:space="preserve">information quantity would need a subjective prior we neither define nor measure. This</w:t>
      </w:r>
      <w:r>
        <w:t xml:space="preserve"> </w:t>
      </w:r>
      <m:oMath>
        <m:r>
          <m:t>θ</m:t>
        </m:r>
      </m:oMath>
      <w:r>
        <w:t xml:space="preserve">-dependence is not a nuisance: it is</w:t>
      </w:r>
      <w:r>
        <w:t xml:space="preserve"> </w:t>
      </w:r>
      <w:r>
        <w:t xml:space="preserve">the formal home of the</w:t>
      </w:r>
      <w:r>
        <w:t xml:space="preserve"> </w:t>
      </w:r>
      <w:r>
        <w:rPr>
          <w:i/>
          <w:iCs/>
        </w:rPr>
        <w:t xml:space="preserve">model-relative value of private context</w:t>
      </w:r>
      <w:r>
        <w:t xml:space="preserve"> </w:t>
      </w:r>
      <w:r>
        <w:t xml:space="preserve">measured in</w:t>
      </w:r>
      <w:r>
        <w:t xml:space="preserve"> </w:t>
      </w:r>
      <w:r>
        <w:t xml:space="preserve">Section 7, where the guessability of a fixed convention spans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vendors. Throughout, all realized-PASS quantities are implicitly indexed by</w:t>
      </w:r>
      <w:r>
        <w:t xml:space="preserve"> </w:t>
      </w:r>
      <m:oMath>
        <m:r>
          <m:t>θ</m:t>
        </m:r>
      </m:oMath>
      <w:r>
        <w:t xml:space="preserve">; we suppress</w:t>
      </w:r>
      <w:r>
        <w:t xml:space="preserve"> </w:t>
      </w:r>
      <w:r>
        <w:t xml:space="preserve">it except where the model-relativity is the point.</w:t>
      </w:r>
    </w:p>
    <w:bookmarkEnd w:id="29"/>
    <w:bookmarkEnd w:id="30"/>
    <w:bookmarkStart w:id="43" w:name="sec:order"/>
    <w:p>
      <w:pPr>
        <w:pStyle w:val="Heading1"/>
      </w:pPr>
      <w:r>
        <w:t xml:space="preserve">The Blackwell order over context sources</w:t>
      </w:r>
    </w:p>
    <w:p>
      <w:pPr>
        <w:pStyle w:val="FirstParagraph"/>
      </w:pPr>
      <w:r>
        <w:t xml:space="preserve">With sources modeled as experiments (see Section 3), the classical comparison of</w:t>
      </w:r>
      <w:r>
        <w:t xml:space="preserve"> </w:t>
      </w:r>
      <w:r>
        <w:t xml:space="preserve">experiments applies to them directly: we state the order, record that it is partial, and bridge</w:t>
      </w:r>
      <w:r>
        <w:t xml:space="preserve"> </w:t>
      </w:r>
      <w:r>
        <w:t xml:space="preserve">its two registers.</w:t>
      </w:r>
    </w:p>
    <w:bookmarkStart w:id="35" w:name="the-order-and-its-two-registers"/>
    <w:p>
      <w:pPr>
        <w:pStyle w:val="Heading2"/>
      </w:pPr>
      <w:r>
        <w:t xml:space="preserve">The order and its two registers</w:t>
      </w:r>
    </w:p>
    <w:bookmarkStart w:id="31" w:name="def:blackwell"/>
    <w:p>
      <w:pPr>
        <w:pStyle w:val="FirstParagraph"/>
      </w:pPr>
      <w:r>
        <w:rPr>
          <w:b/>
          <w:bCs/>
        </w:rPr>
        <w:t xml:space="preserve">Definition 4</w:t>
      </w:r>
      <w:r>
        <w:t xml:space="preserve"> </w:t>
      </w:r>
      <w:r>
        <w:t xml:space="preserve">(Garbling order).</w:t>
      </w:r>
      <w:r>
        <w:t xml:space="preserve"> 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Blackwell-dominates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iff there is a Markov kernel</w:t>
      </w:r>
      <w:r>
        <w:t xml:space="preserve"> </w:t>
      </w:r>
      <w:r>
        <w:t xml:space="preserve">(garbling)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Δ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;</w:t>
      </w:r>
      <w:r>
        <w:t xml:space="preserve"> </w:t>
      </w:r>
      <w:r>
        <w:t xml:space="preserve">i.e. 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a noised, post-processed version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’s, computable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</w:t>
      </w:r>
      <w:r>
        <w:t xml:space="preserve"> </w:t>
      </w:r>
      <w:r>
        <w:t xml:space="preserve">alone without further access to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bookmarkStart w:id="32" w:name="thm:blackwell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(Blackwell–Sherman–Stein; universal dominance for the optimal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experiments on a common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finite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 space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Borel signal spaces. The following are equivalent (the implication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(i)</w:t>
      </w:r>
      <m:oMath>
        <m:r>
          <m:rPr>
            <m:sty m:val="p"/>
          </m:rPr>
          <m:t>⇒</m:t>
        </m:r>
      </m:oMath>
      <w:r>
        <w:rPr>
          <w:i/>
          <w:iCs/>
        </w:rPr>
        <w:t xml:space="preserve">(ii)</w:t>
      </w:r>
      <w:r>
        <w:rPr>
          <w:i/>
          <w:iCs/>
        </w:rPr>
        <w:t xml:space="preserve"> </w:t>
      </w:r>
      <w:r>
        <w:rPr>
          <w:i/>
          <w:iCs/>
        </w:rPr>
        <w:t xml:space="preserve">needs neither finiteness nor further regularity, and is the</w:t>
      </w:r>
      <w:r>
        <w:rPr>
          <w:i/>
          <w:iCs/>
        </w:rPr>
        <w:t xml:space="preserve"> </w:t>
      </w:r>
      <w:r>
        <w:rPr>
          <w:i/>
          <w:iCs/>
        </w:rPr>
        <w:t xml:space="preserve">only direction Corollary 1 and Lemma 2 use):</w:t>
      </w:r>
    </w:p>
    <w:p>
      <w:pPr>
        <w:numPr>
          <w:ilvl w:val="0"/>
          <w:numId w:val="100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4);</w:t>
      </w:r>
    </w:p>
    <w:p>
      <w:pPr>
        <w:numPr>
          <w:ilvl w:val="0"/>
          <w:numId w:val="1003"/>
        </w:numPr>
      </w:pPr>
      <w:r>
        <w:rPr>
          <w:i/>
          <w:iCs/>
        </w:rPr>
        <w:t xml:space="preserve">for every prior</w:t>
      </w:r>
      <w:r>
        <w:rPr>
          <w:i/>
          <w:iCs/>
        </w:rPr>
        <w:t xml:space="preserve"> </w:t>
      </w: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, every finite decision space, and every</w:t>
      </w:r>
      <w:r>
        <w:rPr>
          <w:i/>
          <w:iCs/>
        </w:rPr>
        <w:t xml:space="preserve"> </w:t>
      </w:r>
      <w:r>
        <w:rPr>
          <w:i/>
          <w:iCs/>
        </w:rPr>
        <w:t xml:space="preserve">bounded loss</w:t>
      </w:r>
      <w:r>
        <w:rPr>
          <w:i/>
          <w:iCs/>
        </w:rPr>
        <w:t xml:space="preserve"> </w:t>
      </w:r>
      <m:oMath>
        <m:r>
          <m:t>ℓ</m:t>
        </m:r>
      </m:oMath>
      <w:r>
        <w:rPr>
          <w:i/>
          <w:iCs/>
        </w:rPr>
        <w:t xml:space="preserve">, the Bayes risk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no larger than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 equivalently the</w:t>
      </w:r>
      <w:r>
        <w:rPr>
          <w:i/>
          <w:iCs/>
        </w:rPr>
        <w:t xml:space="preserve"> </w:t>
      </w:r>
      <w:r>
        <w:rPr>
          <w:i/>
          <w:iCs/>
        </w:rPr>
        <w:t xml:space="preserve">optimal value satisfies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bounded</w:t>
      </w:r>
      <w:r>
        <w:rPr>
          <w:i/>
          <w:iCs/>
        </w:rPr>
        <w:t xml:space="preserve"> </w:t>
      </w:r>
      <w:r>
        <w:rPr>
          <w:i/>
          <w:iCs/>
        </w:rPr>
        <w:t xml:space="preserve">utility.</w:t>
      </w:r>
    </w:p>
    <w:p>
      <w:pPr>
        <w:pStyle w:val="FirstParagraph"/>
      </w:pPr>
      <w:r>
        <w:rPr>
          <w:i/>
          <w:iCs/>
        </w:rPr>
        <w:t xml:space="preserve">Randomized decision rules are admitted on both sides; if the dominated experiment is realized with</w:t>
      </w:r>
      <w:r>
        <w:rPr>
          <w:i/>
          <w:iCs/>
        </w:rPr>
        <w:t xml:space="preserve"> </w:t>
      </w:r>
      <w:r>
        <w:rPr>
          <w:i/>
          <w:iCs/>
        </w:rPr>
        <w:t xml:space="preserve">a randomized garbling, no loss of generality is incurred by allowing randomized rules in</w:t>
      </w:r>
      <w:r>
        <w:rPr>
          <w:i/>
          <w:iCs/>
        </w:rPr>
        <w:t xml:space="preserve"> </w:t>
      </w:r>
      <w:r>
        <w:rPr>
          <w:i/>
          <w:iCs/>
        </w:rPr>
        <w:t xml:space="preserve">(ii)</w:t>
      </w:r>
      <w:r>
        <w:rPr>
          <w:i/>
          <w:iCs/>
        </w:rPr>
        <w:t xml:space="preserve">.</w:t>
      </w:r>
    </w:p>
    <w:bookmarkEnd w:id="32"/>
    <w:p>
      <w:pPr>
        <w:pStyle w:val="BodyText"/>
      </w:pPr>
      <w:r>
        <w:t xml:space="preserve">The theorem is classical </w:t>
      </w:r>
      <w:r>
        <w:t xml:space="preserve">(Blackwell 1953; Torgersen 1991)</w:t>
      </w:r>
      <w:r>
        <w:t xml:space="preserve"> </w:t>
      </w:r>
      <w:r>
        <w:t xml:space="preserve">and we use it as a black</w:t>
      </w:r>
      <w:r>
        <w:t xml:space="preserve"> </w:t>
      </w:r>
      <w:r>
        <w:t xml:space="preserve">box.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holds for arbitrary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no further regularity,</w:t>
      </w:r>
      <w:r>
        <w:t xml:space="preserve"> </w:t>
      </w:r>
      <w:r>
        <w:t xml:space="preserve">by simulating the garbling. We invoke the converse</w:t>
      </w:r>
      <w:r>
        <w:t xml:space="preserve"> </w:t>
      </w:r>
      <w:r>
        <w:t xml:space="preserve">(ii)</w:t>
      </w:r>
      <m:oMath>
        <m:r>
          <m:rPr>
            <m:sty m:val="p"/>
          </m:rPr>
          <m:t>⇒</m:t>
        </m:r>
      </m:oMath>
      <w:r>
        <w:t xml:space="preserve">(i)</w:t>
      </w:r>
      <w:r>
        <w:t xml:space="preserve"> </w:t>
      </w:r>
      <w:r>
        <w:t xml:space="preserve">once</w:t>
      </w:r>
      <w:r>
        <w:t xml:space="preserve"> </w:t>
      </w:r>
      <w:r>
        <w:t xml:space="preserve">only, in Theorem 2, and there for a finite state space, the case</w:t>
      </w:r>
      <w:r>
        <w:t xml:space="preserve"> </w:t>
      </w:r>
      <w:r>
        <w:t xml:space="preserve">Blackwell (1953)</w:t>
      </w:r>
      <w:r>
        <w:t xml:space="preserve"> </w:t>
      </w:r>
      <w:r>
        <w:t xml:space="preserve">proves and our coordinate construction realizes; on a general state space the</w:t>
      </w:r>
      <w:r>
        <w:t xml:space="preserve"> </w:t>
      </w:r>
      <w:r>
        <w:t xml:space="preserve">converse needs the convex closure taken in the definition of</w:t>
      </w:r>
      <w:r>
        <w:t xml:space="preserve"> </w:t>
      </w:r>
      <w:r>
        <w:t xml:space="preserve">more-informativeness </w:t>
      </w:r>
      <w:r>
        <w:t xml:space="preserve">(Khan et al. 2025)</w:t>
      </w:r>
      <w:r>
        <w:t xml:space="preserve">. Reading</w:t>
      </w:r>
      <w:r>
        <w:t xml:space="preserve"> </w:t>
      </w:r>
      <w:r>
        <w:t xml:space="preserve">“experiment”</w:t>
      </w:r>
      <w:r>
        <w:t xml:space="preserve"> </w:t>
      </w:r>
      <w:r>
        <w:t xml:space="preserve">as a context source (Definition 1) is faithful because the</w:t>
      </w:r>
      <w:r>
        <w:t xml:space="preserve"> </w:t>
      </w:r>
      <w:r>
        <w:t xml:space="preserve">kernels of Definition 3 are standard Borel, which says nothing about the</w:t>
      </w:r>
      <w:r>
        <w:t xml:space="preserve"> </w:t>
      </w:r>
      <w:r>
        <w:t xml:space="preserve">“decision problem”</w:t>
      </w:r>
      <w:r>
        <w:t xml:space="preserve"> </w:t>
      </w:r>
      <w:r>
        <w:t xml:space="preserve">reading: clause</w:t>
      </w:r>
      <w:r>
        <w:t xml:space="preserve"> </w:t>
      </w:r>
      <w:r>
        <w:t xml:space="preserve">(ii)</w:t>
      </w:r>
      <w:r>
        <w:t xml:space="preserve"> </w:t>
      </w:r>
      <w:r>
        <w:t xml:space="preserve">quantifies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bounded utilities,</w:t>
      </w:r>
      <w:r>
        <w:t xml:space="preserve"> </w:t>
      </w:r>
      <w:r>
        <w:t xml:space="preserve">whereas the tasks we can execute are only the binary-verifier subclass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Definition 2. That restriction is harmless in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but not in the converse, whose witness need not be binary;</w:t>
      </w:r>
      <w:r>
        <w:t xml:space="preserve"> </w:t>
      </w:r>
      <w:r>
        <w:t xml:space="preserve">it costs nothing for the projection sources of Definition 3, whose binary</w:t>
      </w:r>
      <w:r>
        <w:t xml:space="preserve"> </w:t>
      </w:r>
      <w:r>
        <w:t xml:space="preserve">witnesses are exhibited in the proof of Lemma 2</w:t>
      </w:r>
      <w:r>
        <w:t xml:space="preserve">(a)</w:t>
      </w:r>
      <w:r>
        <w:t xml:space="preserve">, and beyond them it is</w:t>
      </w:r>
      <w:r>
        <w:t xml:space="preserve"> </w:t>
      </w:r>
      <w:r>
        <w:t xml:space="preserve">a scope limit of our presentation, not a property of the theorem.</w:t>
      </w:r>
    </w:p>
    <w:bookmarkStart w:id="33" w:name="cor:c1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(Universal context dominance, C1).</w:t>
      </w:r>
      <w:r>
        <w:t xml:space="preserve"> </w:t>
      </w:r>
      <w: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then, for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optimal</w:t>
      </w:r>
      <w:r>
        <w:rPr>
          <w:i/>
          <w:iCs/>
        </w:rPr>
        <w:t xml:space="preserve"> </w:t>
      </w:r>
      <w:r>
        <w:rPr>
          <w:i/>
          <w:iCs/>
        </w:rPr>
        <w:t xml:space="preserve">user, 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at least as good as</w:t>
      </w:r>
      <w:r>
        <w:rPr>
          <w:i/>
          <w:iCs/>
        </w:rPr>
        <w:t xml:space="preserve"> </w:t>
      </w:r>
      <w:r>
        <w:rPr>
          <w:i/>
          <w:iCs/>
        </w:rPr>
        <w:t xml:space="preserve">supplying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task, prior, and bounded utility, a decision-independent,</w:t>
      </w:r>
      <w:r>
        <w:rPr>
          <w:i/>
          <w:iCs/>
        </w:rPr>
        <w:t xml:space="preserve"> </w:t>
      </w:r>
      <w:r>
        <w:rPr>
          <w:i/>
          <w:iCs/>
        </w:rPr>
        <w:t xml:space="preserve">for-all-tasks guarantee that no task-specific scalar score (relevance, mutual information,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information) provides.</w:t>
      </w:r>
    </w:p>
    <w:bookmarkEnd w:id="33"/>
    <w:bookmarkStart w:id="34" w:name="rem:partial"/>
    <w:p>
      <w:pPr>
        <w:pStyle w:val="BodyText"/>
      </w:pPr>
      <w:r>
        <w:rPr>
          <w:i/>
          <w:iCs/>
        </w:rPr>
        <w:t xml:space="preserve">Remark 2</w:t>
      </w:r>
      <w:r>
        <w:t xml:space="preserve"> </w:t>
      </w:r>
      <w:r>
        <w:t xml:space="preserve">(Preorder on kernels;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 not total).</w:t>
      </w:r>
      <w:r>
        <w:t xml:space="preserve"> </w:t>
      </w:r>
      <w:r>
        <w:t xml:space="preserve"> </w:t>
      </w:r>
      <w:r>
        <w:t xml:space="preserve">On the class of all experiments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reflexive and transitive but not antisymmetric, since</w:t>
      </w:r>
      <w:r>
        <w:t xml:space="preserve"> </w:t>
      </w:r>
      <w:r>
        <w:t xml:space="preserve">two experiments can garble each other without being equal, so it is a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and the</w:t>
      </w:r>
      <w:r>
        <w:t xml:space="preserve"> </w:t>
      </w:r>
      <w:r>
        <w:t xml:space="preserve">induced partial order lives on Blackwell-equivalence classes </w:t>
      </w:r>
      <w:r>
        <w:t xml:space="preserve">(Blackwell 1953)</w:t>
      </w:r>
      <w:r>
        <w:t xml:space="preserve">. Throughout,</w:t>
      </w:r>
      <w:r>
        <w:t xml:space="preserve"> </w:t>
      </w:r>
      <w:r>
        <w:t xml:space="preserve">“partial”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not total</w:t>
      </w:r>
      <w:r>
        <w:t xml:space="preserve">: there exist experiments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neither</w:t>
      </w:r>
      <w:r>
        <w:t xml:space="preserve"> </w:t>
      </w:r>
      <m:oMath>
        <m:r>
          <m:t>V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nor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t>V</m:t>
        </m:r>
      </m:oMath>
      <w:r>
        <w:t xml:space="preserve">, and on that class the order is not even a</w:t>
      </w:r>
      <w:r>
        <w:t xml:space="preserve"> </w:t>
      </w:r>
      <w:r>
        <w:t xml:space="preserve">lattice </w:t>
      </w:r>
      <w:r>
        <w:t xml:space="preserve">(Bertschinger and Rauh 2014; Torgersen 1991)</w:t>
      </w:r>
      <w:r>
        <w:t xml:space="preserve">. (The bound variables here are not the</w:t>
      </w:r>
      <w:r>
        <w:t xml:space="preserve"> </w:t>
      </w:r>
      <w:r>
        <w:t xml:space="preserve">paper’s named sources: our own projection family is better behaved, and the next subsection shows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antisymmetric on it with the induced order the Boolean lattice on coordinate sets,</w:t>
      </w:r>
      <w:r>
        <w:t xml:space="preserve"> </w:t>
      </w:r>
      <w:r>
        <w:t xml:space="preserve">Lemma 1(a).) Incomparability survives on that family and is exactly the regime our</w:t>
      </w:r>
      <w:r>
        <w:t xml:space="preserve"> </w:t>
      </w:r>
      <w:r>
        <w:t xml:space="preserve">experiments target. One caution for what follows: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invariant of a</w:t>
      </w:r>
      <w:r>
        <w:t xml:space="preserve"> </w:t>
      </w:r>
      <w:r>
        <w:t xml:space="preserve">Blackwell-equivalence class, and it need not be: a rule keyed to surface form can prefer</w:t>
      </w:r>
      <w:r>
        <w:t xml:space="preserve"> </w:t>
      </w:r>
      <w:r>
        <w:t xml:space="preserve">differently between two experiments that garble each other. The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of Appendix B reveals no coordinate any verifier checks, so it</w:t>
      </w:r>
      <w:r>
        <w:t xml:space="preserve"> </w:t>
      </w:r>
      <w:r>
        <w:t xml:space="preserve">is Blackwell-equivalent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yet the two do not score alike: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a difference whose two-sided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0.0203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0.3845</m:t>
        </m:r>
        <m:r>
          <m:rPr>
            <m:sty m:val="p"/>
          </m:rPr>
          <m:t>]</m:t>
        </m:r>
      </m:oMath>
      <w:r>
        <w:t xml:space="preserve"> </w:t>
      </w:r>
      <w:r>
        <w:t xml:space="preserve">excludes</w:t>
      </w:r>
      <w:r>
        <w:t xml:space="preserve"> </w:t>
      </w:r>
      <w:r>
        <w:t xml:space="preserve">zero, 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where it does not. One cell therefore</w:t>
      </w:r>
      <w:r>
        <w:t xml:space="preserve"> </w:t>
      </w:r>
      <w:r>
        <w:t xml:space="preserve">certifies an instance and the other only illustrates the possibility. Either way the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 of Section 4.3 is not read on the quotient.</w:t>
      </w:r>
    </w:p>
    <w:bookmarkEnd w:id="34"/>
    <w:bookmarkEnd w:id="35"/>
    <w:bookmarkStart w:id="37" w:name="Xcf9dd7f06cc6d4592db8258d08ec9b7ef4b608b"/>
    <w:p>
      <w:pPr>
        <w:pStyle w:val="Heading2"/>
      </w:pPr>
      <w:r>
        <w:t xml:space="preserve">Deterministic sources: incomparability via</w:t>
      </w:r>
      <w:r>
        <w:t xml:space="preserve"> </w:t>
      </w:r>
      <m:oMath>
        <m:r>
          <m:t>σ</m:t>
        </m:r>
      </m:oMath>
      <w:r>
        <w:t xml:space="preserve">-algebra non-refinement</w:t>
      </w:r>
    </w:p>
    <w:p>
      <w:pPr>
        <w:pStyle w:val="FirstParagraph"/>
      </w:pPr>
      <w:r>
        <w:t xml:space="preserve">For deterministic projection sources (Definition 3) the garbling order reduces</w:t>
      </w:r>
      <w:r>
        <w:t xml:space="preserve"> </w:t>
      </w:r>
      <w:r>
        <w:t xml:space="preserve">to refinement of the generated</w:t>
      </w:r>
      <w:r>
        <w:t xml:space="preserve"> </w:t>
      </w:r>
      <m:oMath>
        <m:r>
          <m:t>σ</m:t>
        </m:r>
      </m:oMath>
      <w:r>
        <w:t xml:space="preserve">-algebras, which makes incomparability checkable by a</w:t>
      </w:r>
      <w:r>
        <w:t xml:space="preserve"> </w:t>
      </w:r>
      <w:r>
        <w:t xml:space="preserve">purely structural argument rather than by an empirical divergence.</w:t>
      </w:r>
    </w:p>
    <w:bookmarkStart w:id="36" w:name="lem:noref"/>
    <w:p>
      <w:pPr>
        <w:pStyle w:val="BodyText"/>
      </w:pPr>
      <w:r>
        <w:rPr>
          <w:b/>
          <w:bCs/>
        </w:rPr>
        <w:t xml:space="preserve">Lemma 1</w:t>
      </w:r>
      <w:r>
        <w:t xml:space="preserve"> </w:t>
      </w:r>
      <w:r>
        <w:t xml:space="preserve">(Refinement characterization for projection sources).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with coordinates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mutually independent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some full-support prior and each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non-degenerate. Then:</w:t>
      </w:r>
    </w:p>
    <w:p>
      <w:pPr>
        <w:numPr>
          <w:ilvl w:val="0"/>
          <w:numId w:val="1004"/>
        </w:numPr>
      </w:pPr>
      <m:oMath>
        <m:sSub>
          <m:e>
            <m:r>
              <m:t>W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⇔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⇔</m:t>
        </m:r>
        <m:r>
          <m:t>B</m:t>
        </m:r>
        <m:r>
          <m:rPr>
            <m:sty m:val="p"/>
          </m:rPr>
          <m:t>⊆</m:t>
        </m:r>
        <m:r>
          <m:t>A</m:t>
        </m:r>
      </m:oMath>
      <w:r>
        <w:rPr>
          <w:i/>
          <w:iCs/>
        </w:rPr>
        <w:t xml:space="preserve">;</w:t>
      </w:r>
    </w:p>
    <w:p>
      <w:pPr>
        <w:numPr>
          <w:ilvl w:val="0"/>
          <w:numId w:val="1004"/>
        </w:numPr>
      </w:pPr>
      <w:r>
        <w:rPr>
          <w:i/>
          <w:iCs/>
        </w:rPr>
        <w:t xml:space="preserve">consequently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</w:t>
      </w:r>
      <w:r>
        <w:rPr>
          <w:i/>
          <w:i/>
          <w:iCs/>
          <w:iCs/>
        </w:rPr>
        <w:t xml:space="preserve">incomparable</w:t>
      </w:r>
      <w:r>
        <w:rPr>
          <w:i/>
          <w:iCs/>
        </w:rPr>
        <w:t xml:space="preserve"> </w:t>
      </w:r>
      <w:r>
        <w:rPr>
          <w:i/>
          <w:iCs/>
        </w:rPr>
        <w:t xml:space="preserve">iff</w:t>
      </w:r>
      <w:r>
        <w:rPr>
          <w:i/>
          <w:iCs/>
        </w:rPr>
        <w:t xml:space="preserve"> </w:t>
      </w:r>
      <m:oMath>
        <m:r>
          <m:t>A</m:t>
        </m:r>
        <m:r>
          <m:rPr>
            <m:sty m:val="p"/>
          </m:rPr>
          <m:t>⊈</m:t>
        </m:r>
        <m:r>
          <m:t>B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B</m:t>
        </m:r>
        <m:r>
          <m:rPr>
            <m:sty m:val="p"/>
          </m:rPr>
          <m:t>⊈</m:t>
        </m:r>
        <m:r>
          <m:t>A</m:t>
        </m:r>
      </m:oMath>
      <w:r>
        <w:rPr>
          <w:i/>
          <w:iCs/>
        </w:rPr>
        <w:t xml:space="preserve">, i.e. each reveals at least one coordinate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 hides.</w:t>
      </w:r>
    </w:p>
    <w:bookmarkEnd w:id="36"/>
    <w:p>
      <w:pPr>
        <w:pStyle w:val="FirstParagraph"/>
      </w:pPr>
      <w:r>
        <w:t xml:space="preserve">Lemma 1 is the formal version of the garbling argument used in</w:t>
      </w:r>
      <w:r>
        <w:t xml:space="preserve"> </w:t>
      </w:r>
      <w:r>
        <w:t xml:space="preserve">Section 7: the call contract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revealing the private arg-order /</w:t>
      </w:r>
      <w:r>
        <w:t xml:space="preserve"> </w:t>
      </w:r>
      <w:r>
        <w:t xml:space="preserve">required-keyword / exception-type facts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) and the wire format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revealing the</w:t>
      </w:r>
      <w:r>
        <w:t xml:space="preserve"> </w:t>
      </w:r>
      <w:r>
        <w:t xml:space="preserve">cents-scale / check-digit facts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 give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}</m:t>
        </m:r>
      </m:oMath>
      <w:r>
        <w:t xml:space="preserve">, and neither set contains the</w:t>
      </w:r>
      <w:r>
        <w:t xml:space="preserve"> </w:t>
      </w:r>
      <w:r>
        <w:t xml:space="preserve">other,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 by construction (and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revealing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, dominates both).</w:t>
      </w:r>
    </w:p>
    <w:bookmarkEnd w:id="37"/>
    <w:bookmarkStart w:id="42" w:name="subsec:bridge"/>
    <w:p>
      <w:pPr>
        <w:pStyle w:val="Heading2"/>
      </w:pPr>
      <w:r>
        <w:t xml:space="preserve">Bridging the optimal-rule order to the fixed model</w:t>
      </w:r>
    </w:p>
    <w:p>
      <w:pPr>
        <w:pStyle w:val="FirstParagraph"/>
      </w:pPr>
      <w:r>
        <w:t xml:space="preserve">Theorem 1 concerns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; our experiments measure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a single</w:t>
      </w:r>
      <w:r>
        <w:t xml:space="preserve"> </w:t>
      </w:r>
      <w:r>
        <w:t xml:space="preserve">fixed, generally sub-optimal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An inequality between optimal values need not hold</w:t>
      </w:r>
      <w:r>
        <w:t xml:space="preserve"> </w:t>
      </w:r>
      <w:r>
        <w:t xml:space="preserve">for a fixed rule, and, as we show empirically, the fixed rule can even</w:t>
      </w:r>
      <w:r>
        <w:t xml:space="preserve"> </w:t>
      </w:r>
      <w:r>
        <w:rPr>
          <w:i/>
          <w:iCs/>
        </w:rPr>
        <w:t xml:space="preserve">violate</w:t>
      </w:r>
      <w:r>
        <w:t xml:space="preserve"> </w:t>
      </w:r>
      <w:r>
        <w:t xml:space="preserve">monotonicity</w:t>
      </w:r>
      <w:r>
        <w:t xml:space="preserve"> </w:t>
      </w:r>
      <w:r>
        <w:t xml:space="preserve">that the optimal value obeys. We therefore introduce a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 order.</w:t>
      </w:r>
    </w:p>
    <w:bookmarkStart w:id="38" w:name="def:dmorder"/>
    <w:p>
      <w:pPr>
        <w:pStyle w:val="BodyText"/>
      </w:pPr>
      <w:r>
        <w:rPr>
          <w:b/>
          <w:bCs/>
        </w:rPr>
        <w:t xml:space="preserve">Definition 5</w:t>
      </w:r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-restricted,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-restricted order).</w:t>
      </w:r>
      <w:r>
        <w:t xml:space="preserve"> </w:t>
      </w:r>
      <w:r>
        <w:t xml:space="preserve"> </w:t>
      </w:r>
      <w:r>
        <w:t xml:space="preserve">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 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Say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. Call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-incomparable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i.e. each strictly out-performs the other on some task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p>
      <w:pPr>
        <w:pStyle w:val="BodyText"/>
      </w:pPr>
      <m:oMath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is the order our verification measures. It is decision-restricted (one fixed</w:t>
      </w:r>
      <w:r>
        <w:t xml:space="preserve"> </w:t>
      </w:r>
      <w:r>
        <w:t xml:space="preserve">rule) and distribution-restricted (a fixed finite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); within those restrictions it is still a</w:t>
      </w:r>
      <w:r>
        <w:t xml:space="preserve"> </w:t>
      </w:r>
      <w:r>
        <w:t xml:space="preserve">genuine,</w:t>
      </w:r>
      <w:r>
        <w:t xml:space="preserve"> </w:t>
      </w:r>
      <w:r>
        <w:rPr>
          <w:i/>
          <w:iCs/>
        </w:rPr>
        <w:t xml:space="preserve">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 statement, not a scalar.</w:t>
      </w:r>
    </w:p>
    <w:bookmarkStart w:id="39" w:name="lem:bridge"/>
    <w:p>
      <w:pPr>
        <w:pStyle w:val="BodyText"/>
      </w:pPr>
      <w:r>
        <w:rPr>
          <w:b/>
          <w:bCs/>
        </w:rPr>
        <w:t xml:space="preserve">Lemma 2</w:t>
      </w:r>
      <w:r>
        <w:t xml:space="preserve"> </w:t>
      </w:r>
      <w:r>
        <w:t xml:space="preserve">(One-way bridge under coordinate separation).</w:t>
      </w:r>
      <w:r>
        <w:t xml:space="preserve"> </w:t>
      </w:r>
      <w:r>
        <w:t xml:space="preserve"> </w:t>
      </w:r>
      <w:r>
        <w:rPr>
          <w:i/>
          <w:iCs/>
        </w:rPr>
        <w:t xml:space="preserve">Neither order implies the other unconditionally; each direction of the bridge carries an explicit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projection sources revealing coordinate sets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(Definition 3),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tasks whose</w:t>
      </w:r>
      <w:r>
        <w:rPr>
          <w:i/>
          <w:iCs/>
        </w:rPr>
        <w:t xml:space="preserve"> </w:t>
      </w:r>
      <w:r>
        <w:rPr>
          <w:i/>
          <w:iCs/>
        </w:rPr>
        <w:t xml:space="preserve">verifier-decisive coordinates lie in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respectively, each verifier being determined by its decisive coordinate together with facts</w:t>
      </w:r>
      <w:r>
        <w:rPr>
          <w:i/>
          <w:iCs/>
        </w:rPr>
        <w:t xml:space="preserve"> </w:t>
      </w:r>
      <w:r>
        <w:rPr>
          <w:i/>
          <w:iCs/>
        </w:rPr>
        <w:t xml:space="preserve">known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surely, and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-almost surely accepting some action measurable in that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and those facts (</w:t>
      </w:r>
      <w:r>
        <w:rPr>
          <w:i/>
          <w:i/>
          <w:iCs/>
          <w:iCs/>
        </w:rPr>
        <w:t xml:space="preserve">sufficiency and solvability under the informed source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solvability is not implied by the dependence). Let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guessing caps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Bayes</w:t>
      </w:r>
      <w:r>
        <w:rPr>
          <w:i/>
          <w:iCs/>
        </w:rPr>
        <w:t xml:space="preserve"> </w:t>
      </w:r>
      <w:r>
        <w:rPr>
          <w:i/>
          <w:iCs/>
        </w:rPr>
        <w:t xml:space="preserve">values (3) attainable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the decisive coordinate. If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, so that neither deprived source determines the coordinate its task turns on, then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Blackwell-incomparable. The caps are hypotheses of this criterion, not</w:t>
      </w:r>
      <w:r>
        <w:rPr>
          <w:i/>
          <w:iCs/>
        </w:rPr>
        <w:t xml:space="preserve"> </w:t>
      </w:r>
      <w:r>
        <w:rPr>
          <w:i/>
          <w:iCs/>
        </w:rPr>
        <w:t xml:space="preserve">quantities the experiments determine. Per cell, Section 7 reports a</w:t>
      </w:r>
      <w:r>
        <w:rPr>
          <w:i/>
          <w:iCs/>
        </w:rPr>
        <w:t xml:space="preserve"> </w:t>
      </w:r>
      <w:r>
        <w:rPr>
          <w:i/>
          <w:iCs/>
        </w:rPr>
        <w:t xml:space="preserve">crossover between the same fixed rule’s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realized</w:t>
      </w:r>
      <w:r>
        <w:rPr>
          <w:i/>
          <w:iCs/>
        </w:rPr>
        <w:t xml:space="preserve"> </w:t>
      </w:r>
      <w:r>
        <w:rPr>
          <w:i/>
          <w:iCs/>
        </w:rPr>
        <w:t xml:space="preserve">rates,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; since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state-conditional and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 Bayes value, such a comparison neither</w:t>
      </w:r>
      <w:r>
        <w:rPr>
          <w:i/>
          <w:iCs/>
        </w:rPr>
        <w:t xml:space="preserve"> </w:t>
      </w:r>
      <w:r>
        <w:rPr>
          <w:i/>
          <w:iCs/>
        </w:rPr>
        <w:t xml:space="preserve">estimates nor bounds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though it is consistent with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(Remark 1); we nowhere report the cap conditions as empirically verified.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The converse fails in general: Blackwell incomparability concerns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and a fixed sub-optimal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may fail to realize the optimal-value crossover on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It holds under the value-attainment hypothesis (Assumption 1).</w:t>
      </w:r>
    </w:p>
    <w:bookmarkEnd w:id="39"/>
    <w:bookmarkStart w:id="40" w:name="rem:capsrole"/>
    <w:p>
      <w:pPr>
        <w:pStyle w:val="FirstParagraph"/>
      </w:pPr>
      <w:r>
        <w:rPr>
          <w:i/>
          <w:iCs/>
        </w:rPr>
        <w:t xml:space="preserve">Remark 3</w:t>
      </w:r>
      <w:r>
        <w:t xml:space="preserve"> </w:t>
      </w:r>
      <w:r>
        <w:t xml:space="preserve">(What the caps buy, and what they do not).</w:t>
      </w:r>
      <w:r>
        <w:t xml:space="preserve"> </w:t>
      </w:r>
      <w:r>
        <w:t xml:space="preserve"> </w:t>
      </w:r>
      <w:r>
        <w:t xml:space="preserve">Neither hypothesis of</w:t>
      </w:r>
      <w:r>
        <w:t xml:space="preserve"> </w:t>
      </w:r>
      <w:r>
        <w:t xml:space="preserve">(a)</w:t>
      </w:r>
      <w:r>
        <w:t xml:space="preserve">, separation or the caps, can be dropped</w:t>
      </w:r>
      <w:r>
        <w:t xml:space="preserve"> </w:t>
      </w:r>
      <w:r>
        <w:rPr>
          <w:i/>
          <w:iCs/>
        </w:rPr>
        <w:t xml:space="preserve">from this</w:t>
      </w:r>
      <w:r>
        <w:rPr>
          <w:i/>
          <w:iCs/>
        </w:rPr>
        <w:t xml:space="preserve"> </w:t>
      </w:r>
      <w:r>
        <w:rPr>
          <w:i/>
          <w:iCs/>
        </w:rPr>
        <w:t xml:space="preserve">criterion</w:t>
      </w:r>
      <w:r>
        <w:t xml:space="preserve">. They are not preconditions of structural incomparability as such: for the sources</w:t>
      </w:r>
      <w:r>
        <w:t xml:space="preserve"> </w:t>
      </w:r>
      <w:r>
        <w:t xml:space="preserve">this paper measures, Lemma 1 already separates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 coordinate</w:t>
      </w:r>
      <w:r>
        <w:t xml:space="preserve"> </w:t>
      </w:r>
      <w:r>
        <w:t xml:space="preserve">non-refinement, with no caps at all. Lemma 2</w:t>
      </w:r>
      <w:r>
        <w:t xml:space="preserve">(a)</w:t>
      </w:r>
      <w:r>
        <w:t xml:space="preserve"> </w:t>
      </w:r>
      <w:r>
        <w:t xml:space="preserve">is a different route to</w:t>
      </w:r>
      <w:r>
        <w:t xml:space="preserve"> </w:t>
      </w:r>
      <w:r>
        <w:t xml:space="preserve">the same conclusion</w:t>
      </w:r>
      <w:r>
        <w:t xml:space="preserve"> </w:t>
      </w:r>
      <w:r>
        <w:rPr>
          <w:i/>
          <w:iCs/>
        </w:rPr>
        <w:t xml:space="preserve">within the same projection setting</w:t>
      </w:r>
      <w:r>
        <w:t xml:space="preserve">: it argues from Bayes values rather</w:t>
      </w:r>
      <w:r>
        <w:t xml:space="preserve"> </w:t>
      </w:r>
      <w:r>
        <w:t xml:space="preserve">than from</w:t>
      </w:r>
      <w:r>
        <w:t xml:space="preserve"> </w:t>
      </w:r>
      <m:oMath>
        <m:r>
          <m:t>σ</m:t>
        </m:r>
      </m:oMath>
      <w:r>
        <w:t xml:space="preserve">-algebras, and the caps are what that argument costs. It is not a generalization</w:t>
      </w:r>
      <w:r>
        <w:t xml:space="preserve"> </w:t>
      </w:r>
      <w:r>
        <w:t xml:space="preserve">to arbitrary sources; a criterion for those would be a separate statement we do not prove. What the caps do here is show why a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 alone proves nothing: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 on the measured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wins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the encoding cell) yet strictly Blackwell-</w:t>
      </w:r>
      <w:r>
        <w:rPr>
          <w:i/>
          <w:iCs/>
        </w:rPr>
        <w:t xml:space="preserve">comparable</w:t>
      </w:r>
      <w:r>
        <w:t xml:space="preserve"> </w:t>
      </w:r>
      <w:r>
        <w:t xml:space="preserve">by construction</w:t>
      </w:r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superset revealing one further independent non-degenerate coordinate),</w:t>
      </w:r>
      <w:r>
        <w:t xml:space="preserve"> </w:t>
      </w:r>
      <w:r>
        <w:t xml:space="preserve">precisely because the deprived-side premise fails there: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coordinate, so</w:t>
      </w:r>
      <w:r>
        <w:t xml:space="preserve"> </w:t>
      </w:r>
      <w:r>
        <w:t xml:space="preserve">the API-side cap is not small. A bare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crossover, with neither</w:t>
      </w:r>
      <w:r>
        <w:t xml:space="preserve"> </w:t>
      </w:r>
      <w:r>
        <w:t xml:space="preserve">premise verified, certifies nothing structural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 It is equally</w:t>
      </w:r>
      <w:r>
        <w:t xml:space="preserve"> </w:t>
      </w:r>
      <w:r>
        <w:t xml:space="preserve">consistent with genuine incomparability under optimal play (two sources revealing independent</w:t>
      </w:r>
      <w:r>
        <w:t xml:space="preserve"> </w:t>
      </w:r>
      <w:r>
        <w:t xml:space="preserve">coordinates cross even when each side plays optimally) and with a merely incoherent rule</w:t>
      </w:r>
      <w:r>
        <w:t xml:space="preserve"> </w:t>
      </w:r>
      <w:r>
        <w:t xml:space="preserve">(Theorem 3). The two cases should not be run together.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strict comparability</w:t>
      </w:r>
      <w:r>
        <w:t xml:space="preserve"> </w:t>
      </w:r>
      <w:r>
        <w:t xml:space="preserve">whose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preferences nonetheless oppose; the distinct</w:t>
      </w:r>
      <w:r>
        <w:t xml:space="preserve"> </w:t>
      </w:r>
      <w:r>
        <w:t xml:space="preserve">phenomenon of a rule preferring differently between two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experiments is</w:t>
      </w:r>
      <w:r>
        <w:t xml:space="preserve"> </w:t>
      </w:r>
      <w:r>
        <w:t xml:space="preserve">illustrated by the padding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 where the added block carries no</w:t>
      </w:r>
      <w:r>
        <w:t xml:space="preserve"> </w:t>
      </w:r>
      <w:r>
        <w:t xml:space="preserve">coordinate any verifier reads (Remark 2). That a representation-sensitive decoder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do this in general is a structural observation, not something our single measured</w:t>
      </w:r>
      <w:r>
        <w:t xml:space="preserve"> </w:t>
      </w:r>
      <w:r>
        <w:t xml:space="preserve">difference certifies. Nor is the projection construction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incomparability: it is the cleanest sufficient condition we know, and the one our sources</w:t>
      </w:r>
      <w:r>
        <w:t xml:space="preserve"> </w:t>
      </w:r>
      <w:r>
        <w:t xml:space="preserve">realize.</w:t>
      </w:r>
    </w:p>
    <w:bookmarkEnd w:id="40"/>
    <w:bookmarkStart w:id="41" w:name="ass:attain"/>
    <w:p>
      <w:pPr>
        <w:pStyle w:val="BodyText"/>
      </w:pPr>
      <w:r>
        <w:rPr>
          <w:b/>
          <w:bCs/>
        </w:rPr>
        <w:t xml:space="preserve">Assumption 1</w:t>
      </w:r>
      <w:r>
        <w:t xml:space="preserve"> </w:t>
      </w:r>
      <w:r>
        <w:t xml:space="preserve">(Realized cross-advantage on the witnessing task pair).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r>
        <w:rPr>
          <w:i/>
          <w:iCs/>
        </w:rPr>
        <w:t xml:space="preserve">ordered pair of named tasks</w:t>
      </w:r>
      <w:r>
        <w:t xml:space="preserve">. Say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i/>
          <w:iCs/>
        </w:rPr>
        <w:t xml:space="preserve">attains value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margin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γ</m:t>
        </m:r>
      </m:oMath>
      <w:r>
        <w:t xml:space="preserve">; i.e. the fixed model actually exploits each</w:t>
      </w:r>
      <w:r>
        <w:t xml:space="preserve"> </w:t>
      </w:r>
      <w:r>
        <w:t xml:space="preserve">source’s private coordinate on the task that requires it. Despite the historical name we keep for</w:t>
      </w:r>
      <w:r>
        <w:t xml:space="preserve"> </w:t>
      </w:r>
      <w:r>
        <w:t xml:space="preserve">the label, the condition is a statement about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pass rates only: it asserts nothing</w:t>
      </w:r>
      <w:r>
        <w:t xml:space="preserve"> </w:t>
      </w:r>
      <w:r>
        <w:t xml:space="preserve">about the supremum in (3) being attained, and no design can compel a model to satisfy</w:t>
      </w:r>
      <w:r>
        <w:t xml:space="preserve"> </w:t>
      </w:r>
      <w:r>
        <w:t xml:space="preserve">it. The hypothesis is always asserted of an</w:t>
      </w:r>
      <w:r>
        <w:t xml:space="preserve"> </w:t>
      </w:r>
      <w:r>
        <w:t xml:space="preserve">explicitly named pair: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assert that some such pair exists somewhere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and attainment on one pair implies nothing about attainment on another. If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attains</w:t>
      </w:r>
      <w:r>
        <w:t xml:space="preserve"> </w:t>
      </w:r>
      <w:r>
        <w:t xml:space="preserve">value on a pair 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script"/>
            <m:sty m:val="p"/>
          </m:rPr>
          <m:t>D</m:t>
        </m:r>
      </m:oMath>
      <w:r>
        <w:t xml:space="preserve">, then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-incomparable.</w:t>
      </w:r>
    </w:p>
    <w:bookmarkEnd w:id="41"/>
    <w:p>
      <w:pPr>
        <w:pStyle w:val="BodyText"/>
      </w:pPr>
      <w:r>
        <w:t xml:space="preserve">The three objects do different jobs. Lemma 1 establishes structural incomparability</w:t>
      </w:r>
      <w:r>
        <w:t xml:space="preserve"> </w:t>
      </w:r>
      <w:r>
        <w:t xml:space="preserve">for the specified projection sources, with no prior, no caps and no measurement;</w:t>
      </w:r>
      <w:r>
        <w:t xml:space="preserve"> </w:t>
      </w:r>
      <w:r>
        <w:t xml:space="preserve">Lemma 2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Bayes-value separation criterion whose guessing caps</w:t>
      </w:r>
      <w:r>
        <w:t xml:space="preserve"> </w:t>
      </w:r>
      <w:r>
        <w:t xml:space="preserve">are assumptions, never estimates recovered from the observed state-conditional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rates;</w:t>
      </w:r>
      <w:r>
        <w:t xml:space="preserve"> </w:t>
      </w:r>
      <w:r>
        <w:t xml:space="preserve">Assumption 1 concerns realized cross-advantage on named tasks, which the</w:t>
      </w:r>
      <w:r>
        <w:t xml:space="preserve"> </w:t>
      </w:r>
      <w:r>
        <w:t xml:space="preserve">experiments assess directly.</w:t>
      </w:r>
    </w:p>
    <w:bookmarkEnd w:id="42"/>
    <w:bookmarkEnd w:id="43"/>
    <w:bookmarkStart w:id="53" w:name="sec:incomparability"/>
    <w:p>
      <w:pPr>
        <w:pStyle w:val="Heading1"/>
      </w:pPr>
      <w:r>
        <w:t xml:space="preserve">The incomparability theorem</w:t>
      </w:r>
    </w:p>
    <w:p>
      <w:pPr>
        <w:pStyle w:val="FirstParagraph"/>
      </w:pPr>
      <w:r>
        <w:t xml:space="preserve">Section 4 showed the order is partial; we now establish the consequence that motivates the</w:t>
      </w:r>
      <w:r>
        <w:t xml:space="preserve"> </w:t>
      </w:r>
      <w:r>
        <w:t xml:space="preserve">whole paper: no scalar can rank a Blackwell-incomparable pair. We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the claim: a theorem</w:t>
      </w:r>
      <w:r>
        <w:t xml:space="preserve"> </w:t>
      </w:r>
      <w:r>
        <w:t xml:space="preserve">for query-</w:t>
      </w:r>
      <w:r>
        <w:rPr>
          <w:i/>
          <w:iCs/>
        </w:rPr>
        <w:t xml:space="preserve">independent</w:t>
      </w:r>
      <w:r>
        <w:t xml:space="preserve"> </w:t>
      </w:r>
      <w:r>
        <w:t xml:space="preserve">source 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a separate, explicitly empirical</w:t>
      </w:r>
      <w:r>
        <w:t xml:space="preserve"> </w:t>
      </w:r>
      <w:r>
        <w:t xml:space="preserve">statement for query-</w:t>
      </w:r>
      <w:r>
        <w:rPr>
          <w:i/>
          <w:iCs/>
        </w:rPr>
        <w:t xml:space="preserve">conditioned</w:t>
      </w:r>
      <w:r>
        <w:t xml:space="preserve"> </w:t>
      </w:r>
      <w:r>
        <w:t xml:space="preserve">scores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relevance score practitioners</w:t>
      </w:r>
      <w:r>
        <w:t xml:space="preserve"> </w:t>
      </w:r>
      <w:r>
        <w:t xml:space="preserve">actually use; the two must not be conflated.</w:t>
      </w:r>
    </w:p>
    <w:bookmarkStart w:id="48" w:name="query-independent-scores-the-theorem"/>
    <w:p>
      <w:pPr>
        <w:pStyle w:val="Heading2"/>
      </w:pPr>
      <w:r>
        <w:t xml:space="preserve">Query-independent scores: the theorem</w:t>
      </w:r>
    </w:p>
    <w:bookmarkStart w:id="44" w:name="thm:incomparable"/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(No query-independent scalar ranks incomparable sources, C1).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S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finite and 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Blackwell-incomparable. (Finiteness is used only to</w:t>
      </w:r>
      <w:r>
        <w:rPr>
          <w:i/>
          <w:iCs/>
        </w:rPr>
        <w:t xml:space="preserve"> </w:t>
      </w:r>
      <w:r>
        <w:rPr>
          <w:i/>
          <w:iCs/>
        </w:rPr>
        <w:t xml:space="preserve">invoke the converse direction of Theorem 1, which turns incomparability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existence of the witness tasks; it holds for our coordinate construction, and for projection</w:t>
      </w:r>
      <w:r>
        <w:rPr>
          <w:i/>
          <w:iCs/>
        </w:rPr>
        <w:t xml:space="preserve"> </w:t>
      </w:r>
      <w:r>
        <w:rPr>
          <w:i/>
          <w:iCs/>
        </w:rPr>
        <w:t xml:space="preserve">sources the witnesses are exhibited directly in the proof of Lemma 2, so no</w:t>
      </w:r>
      <w:r>
        <w:rPr>
          <w:i/>
          <w:iCs/>
        </w:rPr>
        <w:t xml:space="preserve"> </w:t>
      </w:r>
      <w:r>
        <w:rPr>
          <w:i/>
          <w:iCs/>
        </w:rPr>
        <w:t xml:space="preserve">converse is needed there.)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rPr>
            <m:nor/>
            <m:sty m:val="p"/>
          </m:rPr>
          <m:t>sources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any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query-independent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scalar score (a single number per source: relevance to a fixed corpus,</w:t>
      </w:r>
      <w:r>
        <w:rPr>
          <w:i/>
          <w:iCs/>
        </w:rPr>
        <w:t xml:space="preserve"> </w:t>
      </w:r>
      <w:r>
        <w:rPr>
          <w:i/>
          <w:iCs/>
        </w:rPr>
        <w:t xml:space="preserve">mutual information</w:t>
      </w:r>
      <w:r>
        <w:rPr>
          <w:i/>
          <w:iCs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information, perplexity-gap, expected information gain</w:t>
      </w:r>
      <w:r>
        <w:rPr>
          <w:i/>
          <w:iCs/>
        </w:rPr>
        <w:t xml:space="preserve"> </w:t>
      </w:r>
      <w:r>
        <w:rPr>
          <w:i/>
          <w:iCs/>
        </w:rPr>
        <w:t xml:space="preserve">under a fixed prior). Being real-valued,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totally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preorders</w:t>
      </w:r>
      <w:r>
        <w:rPr>
          <w:i/>
          <w:iCs/>
        </w:rPr>
        <w:t xml:space="preserve"> </w:t>
      </w:r>
      <w:r>
        <w:rPr>
          <w:i/>
          <w:iCs/>
        </w:rPr>
        <w:t xml:space="preserve">sources; it need not order them strictly,</w:t>
      </w:r>
      <w:r>
        <w:rPr>
          <w:i/>
          <w:iCs/>
        </w:rPr>
        <w:t xml:space="preserve"> </w:t>
      </w:r>
      <w:r>
        <w:rPr>
          <w:i/>
          <w:iCs/>
        </w:rPr>
        <w:t xml:space="preserve">since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permitted. Call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faithful on a task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the</w:t>
      </w:r>
      <w:r>
        <w:rPr>
          <w:i/>
          <w:iCs/>
        </w:rPr>
        <w:t xml:space="preserve"> </w:t>
      </w:r>
      <w:r>
        <w:rPr>
          <w:i/>
          <w:iCs/>
        </w:rPr>
        <w:t xml:space="preserve">source strictly preferred on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receives the strictly larger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-value, so a tie is a</w:t>
      </w:r>
      <w:r>
        <w:rPr>
          <w:i/>
          <w:iCs/>
        </w:rPr>
        <w:t xml:space="preserve"> </w:t>
      </w:r>
      <w:r>
        <w:rPr>
          <w:i/>
          <w:iCs/>
        </w:rPr>
        <w:t xml:space="preserve">failure; a task-independent tie-breaking rule fixed in advance reduces ties to the strict case,</w:t>
      </w:r>
      <w:r>
        <w:rPr>
          <w:i/>
          <w:iCs/>
        </w:rPr>
        <w:t xml:space="preserve"> </w:t>
      </w:r>
      <w:r>
        <w:rPr>
          <w:i/>
          <w:iCs/>
        </w:rPr>
        <w:t xml:space="preserve">leaving the conclusion unchanged. Then there exist tasks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 that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unfaithful to the optimal-value order on at least one of them, the witnesses being bounded-utility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problems from Theorem 1</w:t>
      </w:r>
      <w:r>
        <w:rPr>
          <w:i/>
          <w:iCs/>
        </w:rPr>
        <w:t xml:space="preserve">(ii)</w:t>
      </w:r>
      <w:r>
        <w:rPr>
          <w:i/>
          <w:iCs/>
        </w:rPr>
        <w:t xml:space="preserve">, not necessarily binary verifiers</w:t>
      </w:r>
      <w:r>
        <w:rPr>
          <w:i/>
          <w:iCs/>
        </w:rPr>
        <w:t xml:space="preserve"> </w:t>
      </w:r>
      <w:r>
        <w:rPr>
          <w:i/>
          <w:iCs/>
        </w:rPr>
        <w:t xml:space="preserve">(Definition 2), though they can be taken binary for projection sources (proof of</w:t>
      </w:r>
      <w:r>
        <w:rPr>
          <w:i/>
          <w:iCs/>
        </w:rPr>
        <w:t xml:space="preserve"> </w:t>
      </w:r>
      <w:r>
        <w:rPr>
          <w:i/>
          <w:iCs/>
        </w:rPr>
        <w:t xml:space="preserve">Lemma 2</w:t>
      </w:r>
      <w:r>
        <w:rPr>
          <w:i/>
          <w:iCs/>
        </w:rPr>
        <w:t xml:space="preserve">(a)</w:t>
      </w:r>
      <w:r>
        <w:rPr>
          <w:i/>
          <w:iCs/>
        </w:rPr>
        <w:t xml:space="preserve">). If moreover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attains value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that same</w:t>
      </w:r>
      <w:r>
        <w:rPr>
          <w:i/>
          <w:iCs/>
        </w:rPr>
        <w:t xml:space="preserve"> </w:t>
      </w:r>
      <w:r>
        <w:rPr>
          <w:i/>
          <w:iCs/>
        </w:rPr>
        <w:t xml:space="preserve">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(Assumption 1),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likewise unfaithful to the</w:t>
      </w:r>
      <w:r>
        <w:rPr>
          <w:i/>
          <w:iCs/>
        </w:rPr>
        <w:t xml:space="preserve"> </w:t>
      </w:r>
      <w:r>
        <w:rPr>
          <w:i/>
          <w:iCs/>
        </w:rPr>
        <w:t xml:space="preserve">realized-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order on at least one 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 More generally, attainment on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any</w:t>
      </w:r>
      <w:r>
        <w:rPr>
          <w:i/>
          <w:iCs/>
        </w:rPr>
        <w:t xml:space="preserve"> </w:t>
      </w:r>
      <w:r>
        <w:rPr>
          <w:i/>
          <w:iCs/>
        </w:rPr>
        <w:t xml:space="preserve">named pair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yields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-disagreement on at least one of</w:t>
      </w:r>
      <w:r>
        <w:rPr>
          <w:i/>
          <w:iCs/>
        </w:rPr>
        <w:t xml:space="preserve"> </w:t>
      </w:r>
      <m:oMath>
        <m:sSubSup>
          <m:e>
            <m:r>
              <m:t>T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,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by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argument; the two conclusions concern their own witness pairs and do not transfer between them.</w:t>
      </w:r>
    </w:p>
    <w:bookmarkEnd w:id="44"/>
    <w:bookmarkStart w:id="45" w:name="rem:c2scope"/>
    <w:p>
      <w:pPr>
        <w:pStyle w:val="BodyText"/>
      </w:pPr>
      <w:r>
        <w:rPr>
          <w:i/>
          <w:iCs/>
        </w:rPr>
        <w:t xml:space="preserve">Remark 4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w:r>
        <w:t xml:space="preserve">Theorem 2 rules out exactly the class of</w:t>
      </w:r>
      <w:r>
        <w:t xml:space="preserve"> </w:t>
      </w:r>
      <w:r>
        <w:rPr>
          <w:i/>
          <w:iCs/>
        </w:rPr>
        <w:t xml:space="preserve">source-level</w:t>
      </w:r>
      <w:r>
        <w:t xml:space="preserve"> </w:t>
      </w:r>
      <w:r>
        <w:t xml:space="preserve">scalars: any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that is a fixed number per source, regardless of task.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information, mutual</w:t>
      </w:r>
      <w:r>
        <w:t xml:space="preserve"> </w:t>
      </w:r>
      <w:r>
        <w:t xml:space="preserve">information, perplexity-gap, and (fixed-prior) EIG all live in this class, so they are corollary</w:t>
      </w:r>
      <w:r>
        <w:t xml:space="preserve"> </w:t>
      </w:r>
      <w:r>
        <w:t xml:space="preserve">victims of the theorem, not competitors (Proposition 1).</w:t>
      </w:r>
    </w:p>
    <w:bookmarkEnd w:id="45"/>
    <w:bookmarkStart w:id="46" w:name="prop:vinfo-monotone"/>
    <w:p>
      <w:pPr>
        <w:pStyle w:val="BodyText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</w:t>
      </w:r>
      <m:oMath>
        <m:r>
          <m:rPr>
            <m:scr m:val="script"/>
            <m:sty m:val="p"/>
          </m:rPr>
          <m:t>V</m:t>
        </m:r>
      </m:oMath>
      <w:r>
        <w:t xml:space="preserve">-usable information is Blackwell-monotone).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-usable information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r>
          <m:t>W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defined, after</w:t>
      </w:r>
      <w:r>
        <w:rPr>
          <w:i/>
          <w:iCs/>
        </w:rPr>
        <w:t xml:space="preserve"> </w:t>
      </w:r>
      <w:r>
        <w:rPr>
          <w:i/>
          <w:iCs/>
        </w:rPr>
        <w:t xml:space="preserve">Ethayarajh et al. (2022)</w:t>
      </w:r>
      <w:r>
        <w:rPr>
          <w:i/>
          <w:iCs/>
        </w:rPr>
        <w:t xml:space="preserve">, as the reduction in expected predictive risk of the best predictor</w:t>
      </w:r>
      <w:r>
        <w:rPr>
          <w:i/>
          <w:iCs/>
        </w:rPr>
        <w:t xml:space="preserve"> </w:t>
      </w:r>
      <w:r>
        <w:rPr>
          <w:i/>
          <w:iCs/>
        </w:rPr>
        <w:t xml:space="preserve">in a fixed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 given the signal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versus the null signal. If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 predictor family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closed under pre-composition with measurable garblings, then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​</m:t>
        </m:r>
        <m:r>
          <m:rPr>
            <m:sty m:val="p"/>
          </m:rPr>
          <m:t>→</m:t>
        </m:r>
        <m:r>
          <m:t>​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a Blackwell-monotone</w:t>
      </w:r>
      <w:r>
        <w:rPr>
          <w:i/>
          <w:iCs/>
        </w:rPr>
        <w:t xml:space="preserve"> </w:t>
      </w:r>
      <w:r>
        <w:rPr>
          <w:i/>
          <w:iCs/>
        </w:rPr>
        <w:t xml:space="preserve">scalar: it respects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but collapses it to one real number.</w:t>
      </w:r>
    </w:p>
    <w:bookmarkEnd w:id="46"/>
    <w:bookmarkStart w:id="47" w:name="rem:vinfo-scope"/>
    <w:p>
      <w:pPr>
        <w:pStyle w:val="BodyText"/>
      </w:pPr>
      <w:r>
        <w:rPr>
          <w:i/>
          <w:iCs/>
        </w:rPr>
        <w:t xml:space="preserve">Remark 5</w:t>
      </w:r>
      <w:r>
        <w:t xml:space="preserve"> </w:t>
      </w:r>
      <w:r>
        <w:t xml:space="preserve">(Scope of Proposition 1).</w:t>
      </w:r>
      <w:r>
        <w:t xml:space="preserve"> </w:t>
      </w:r>
      <w:r>
        <w:t xml:space="preserve"> </w:t>
      </w:r>
      <w:r>
        <w:t xml:space="preserve">The closure hypothesis (a family closed under pre-composition with garblings) is the natural</w:t>
      </w:r>
      <w:r>
        <w:t xml:space="preserve"> </w:t>
      </w:r>
      <w:r>
        <w:t xml:space="preserve">sufficient condition and holds for predictor families rich enough to apply a fixed measurable</w:t>
      </w:r>
      <w:r>
        <w:t xml:space="preserve"> </w:t>
      </w:r>
      <w:r>
        <w:t xml:space="preserve">post-processing; for narrower families monotonicity may fail and we do not claim it. We prove</w:t>
      </w:r>
      <w:r>
        <w:t xml:space="preserve"> </w:t>
      </w:r>
      <w:r>
        <w:t xml:space="preserve">monotonicity for the closest neighbour,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 For mutual information and</w:t>
      </w:r>
      <w:r>
        <w:t xml:space="preserve"> </w:t>
      </w:r>
      <w:r>
        <w:t xml:space="preserve">fixed-prior EIG the analogue is not a conjecture but immediate from data processing, the direction</w:t>
      </w:r>
      <w:r>
        <w:t xml:space="preserve"> </w:t>
      </w:r>
      <w:r>
        <w:t xml:space="preserve">Zheng et al. (2024)</w:t>
      </w:r>
      <w:r>
        <w:t xml:space="preserve"> </w:t>
      </w:r>
      <w:r>
        <w:t xml:space="preserve">use (see Section 2). A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decoder’s perplexity-gap is the</w:t>
      </w:r>
      <w:r>
        <w:t xml:space="preserve"> </w:t>
      </w:r>
      <w:r>
        <w:t xml:space="preserve">singleton-family case the previous sentence excludes, so we claim nothing for it.</w:t>
      </w:r>
      <w:r>
        <w:t xml:space="preserve"> </w:t>
      </w:r>
      <w:r>
        <w:t xml:space="preserve">Theorem 2 excludes all of them as per-source scalars regardless, which is the</w:t>
      </w:r>
      <w:r>
        <w:t xml:space="preserve"> </w:t>
      </w:r>
      <w:r>
        <w:t xml:space="preserve">only property this paper needs.</w:t>
      </w:r>
    </w:p>
    <w:bookmarkEnd w:id="47"/>
    <w:bookmarkEnd w:id="48"/>
    <w:bookmarkStart w:id="52" w:name="subsec:trap"/>
    <w:p>
      <w:pPr>
        <w:pStyle w:val="Heading2"/>
      </w:pPr>
      <w:r>
        <w:t xml:space="preserve">Query-conditioned scores: the relevance trap (empirical)</w:t>
      </w:r>
    </w:p>
    <w:p>
      <w:pPr>
        <w:pStyle w:val="FirstParagraph"/>
      </w:pPr>
      <w:r>
        <w:t xml:space="preserve">A query-conditioned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e.g. the lexical or embedding relevance that retrieval</w:t>
      </w:r>
      <w:r>
        <w:t xml:space="preserve"> </w:t>
      </w:r>
      <w:r>
        <w:t xml:space="preserve">and RAG actually deploy, induces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order per task and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single fixed total order, so Theorem 2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 it. We make two</w:t>
      </w:r>
      <w:r>
        <w:t xml:space="preserve"> </w:t>
      </w:r>
      <w:r>
        <w:t xml:space="preserve">precise statements instead.</w:t>
      </w:r>
    </w:p>
    <w:bookmarkStart w:id="49" w:name="prop:trap-constrained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(Constrained impossibility for feature-measurable scores).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a fixed feature map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that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topical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m:oMath>
        <m:r>
          <m:t>ψ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invariant to the verifier-decisive coordinate of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a task whose decisive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 is supplied by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so realized utility ranks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≻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. Parts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alternatives</w:t>
      </w:r>
      <w:r>
        <w:rPr>
          <w:i/>
          <w:iCs/>
        </w:rPr>
        <w:t xml:space="preserve">, not a chain: their hypotheses are mutually</w:t>
      </w:r>
      <w:r>
        <w:rPr>
          <w:i/>
          <w:iCs/>
        </w:rPr>
        <w:t xml:space="preserve"> </w:t>
      </w:r>
      <w:r>
        <w:rPr>
          <w:i/>
          <w:iCs/>
        </w:rPr>
        <w:t xml:space="preserve">exclusive. They are not exhaustive of the topical class, and the conclusion below is stated only</w:t>
      </w:r>
      <w:r>
        <w:rPr>
          <w:i/>
          <w:iCs/>
        </w:rPr>
        <w:t xml:space="preserve"> </w:t>
      </w:r>
      <w:r>
        <w:rPr>
          <w:i/>
          <w:iCs/>
        </w:rPr>
        <w:t xml:space="preserve">for scores meeting one of them.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(a) (Tie.)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so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cannot rank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strictly above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(b) (Strict inversion.)</w:t>
      </w:r>
      <w:r>
        <w:rPr>
          <w:i/>
          <w:iCs/>
        </w:rPr>
        <w:t xml:space="preserve"> </w:t>
      </w:r>
      <w:r>
        <w:rPr>
          <w:i/>
          <w:iCs/>
        </w:rPr>
        <w:t xml:space="preserve">Suppose instead that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the pair through the scalar lexical-overlap feature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alone, with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strictly</w:t>
      </w:r>
      <w:r>
        <w:rPr>
          <w:i/>
          <w:iCs/>
        </w:rPr>
        <w:t xml:space="preserve"> </w:t>
      </w:r>
      <w:r>
        <w:rPr>
          <w:i/>
          <w:iCs/>
        </w:rPr>
        <w:t xml:space="preserve">increasing, and that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’s lexicon is saturated with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vocabulary in the precise sense</w:t>
      </w:r>
      <w:r>
        <w:rPr>
          <w:i/>
          <w:iCs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. Then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, a strict</w:t>
      </w:r>
      <w:r>
        <w:rPr>
          <w:i/>
          <w:iCs/>
        </w:rPr>
        <w:t xml:space="preserve"> </w:t>
      </w:r>
      <w:r>
        <w:rPr>
          <w:i/>
          <w:iCs/>
        </w:rPr>
        <w:t xml:space="preserve">mis-rank. In either case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fails to rank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by realized utility on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rPr>
          <w:i/>
          <w:iCs/>
        </w:rPr>
        <w:t xml:space="preserve">: no</w:t>
      </w:r>
      <w:r>
        <w:rPr>
          <w:i/>
          <w:iCs/>
        </w:rPr>
        <w:t xml:space="preserve"> </w:t>
      </w:r>
      <w:r>
        <w:rPr>
          <w:i/>
          <w:iCs/>
        </w:rPr>
        <w:t xml:space="preserve">topical score satisfying</w:t>
      </w:r>
      <w:r>
        <w:rPr>
          <w:i/>
          <w:iCs/>
        </w:rP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i/>
          <w:iCs/>
        </w:rPr>
        <w:t xml:space="preserve">ranks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correctly on all tasks.</w:t>
      </w:r>
    </w:p>
    <w:bookmarkEnd w:id="49"/>
    <w:bookmarkStart w:id="50" w:name="rem:trapscope"/>
    <w:p>
      <w:pPr>
        <w:pStyle w:val="BodyText"/>
      </w:pPr>
      <w:r>
        <w:rPr>
          <w:i/>
          <w:iCs/>
        </w:rPr>
        <w:t xml:space="preserve">Remark 6</w:t>
      </w:r>
      <w:r>
        <w:t xml:space="preserve"> </w:t>
      </w:r>
      <w:r>
        <w:t xml:space="preserve">(What Proposition 2 does not exclude).</w:t>
      </w:r>
      <w:r>
        <w:t xml:space="preserve"> </w:t>
      </w:r>
      <w:r>
        <w:t xml:space="preserve"> </w:t>
      </w:r>
      <w:r>
        <w:t xml:space="preserve">Invariance to the decisive coordinate’s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is a weak hypothesis, and hypotheses</w:t>
      </w:r>
      <w:r>
        <w:t xml:space="preserve"> </w:t>
      </w:r>
      <w:r>
        <w:t xml:space="preserve">(a)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do not cover every score satisfying it. A rule reading public</w:t>
      </w:r>
      <w:r>
        <w:t xml:space="preserve"> </w:t>
      </w:r>
      <w:r>
        <w:t xml:space="preserve">metadata can escape while never touching a private value.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independent,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 reveal</w:t>
      </w:r>
      <w:r>
        <w:t xml:space="preserve"> </w:t>
      </w:r>
      <m:oMath>
        <m:r>
          <m:t>X</m:t>
        </m:r>
      </m:oMath>
      <w:r>
        <w:t xml:space="preserve">, let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carry the public label</w:t>
      </w:r>
      <w:r>
        <w:t xml:space="preserve"> </w:t>
      </w:r>
      <w:r>
        <w:rPr>
          <w:rStyle w:val="VerbatimChar"/>
        </w:rPr>
        <w:t xml:space="preserve">wire</w:t>
      </w:r>
      <w:r>
        <w:t xml:space="preserve"> </w:t>
      </w:r>
      <w:r>
        <w:t xml:space="preserve">and reveal</w:t>
      </w:r>
      <w:r>
        <w:t xml:space="preserve"> </w:t>
      </w:r>
      <m:oMath>
        <m:r>
          <m:t>Y</m:t>
        </m:r>
      </m:oMath>
      <w:r>
        <w:t xml:space="preserve">, and let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need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score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label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family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]</m:t>
        </m:r>
      </m:oMath>
      <w:r>
        <w:t xml:space="preserve"> </w:t>
      </w:r>
      <w:r>
        <w:t xml:space="preserve">then ranks correctly on both tasks in every state, and it satisfies neither</w:t>
      </w:r>
      <w:r>
        <w:t xml:space="preserve"> </w:t>
      </w:r>
      <w:r>
        <w:t xml:space="preserve">(a)</w:t>
      </w:r>
      <w:r>
        <w:t xml:space="preserve"> </w:t>
      </w:r>
      <w:r>
        <w:t xml:space="preserve">(the labels differ, so no tie) nor</w:t>
      </w:r>
      <w:r>
        <w:t xml:space="preserve"> </w:t>
      </w:r>
      <w:r>
        <w:t xml:space="preserve">(b)</w:t>
      </w:r>
      <w:r>
        <w:t xml:space="preserve"> </w:t>
      </w:r>
      <w:r>
        <w:t xml:space="preserve">(it is not an increasing function of</w:t>
      </w:r>
      <w:r>
        <w:t xml:space="preserve"> </w:t>
      </w:r>
      <w:r>
        <w:t xml:space="preserve">lexical overlap). So the proposition constrains the two named mechanisms, not the whole</w:t>
      </w:r>
      <w:r>
        <w:t xml:space="preserve"> </w:t>
      </w:r>
      <w:r>
        <w:t xml:space="preserve">query-conditioned class, and in particular it says nothing against routers built on public task</w:t>
      </w:r>
      <w:r>
        <w:t xml:space="preserve"> </w:t>
      </w:r>
      <w:r>
        <w:t xml:space="preserve">metadata. Theorem 2, which concerns one fixed number per source for all</w:t>
      </w:r>
      <w:r>
        <w:t xml:space="preserve"> </w:t>
      </w:r>
      <w:r>
        <w:t xml:space="preserve">tasks, is unaffected: a router of this kind is not a per-source scalar. What the trap shows</w:t>
      </w:r>
      <w:r>
        <w:t xml:space="preserve"> </w:t>
      </w:r>
      <w:r>
        <w:t xml:space="preserve">empirically is narrower: the text-reading scorers we ran put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it</w:t>
      </w:r>
      <w:r>
        <w:t xml:space="preserve"> </w:t>
      </w:r>
      <w:r>
        <w:t xml:space="preserve">(see Section 7.4.2). That is a measured mis-rank, not evidence that a</w:t>
      </w:r>
      <w:r>
        <w:t xml:space="preserve"> </w:t>
      </w:r>
      <w:r>
        <w:t xml:space="preserve">learned checkpoint satisfies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; only the lexical cosine meets</w:t>
      </w:r>
      <w:r>
        <w:t xml:space="preserve"> </w:t>
      </w:r>
      <w:r>
        <w:t xml:space="preserve">(b)</w:t>
      </w:r>
      <w:r>
        <w:t xml:space="preserve"> </w:t>
      </w:r>
      <w:r>
        <w:t xml:space="preserve">by construction.</w:t>
      </w:r>
    </w:p>
    <w:bookmarkEnd w:id="50"/>
    <w:bookmarkStart w:id="51" w:name="rem:overlaponly"/>
    <w:p>
      <w:pPr>
        <w:pStyle w:val="BodyText"/>
      </w:pPr>
      <w:r>
        <w:rPr>
          <w:i/>
          <w:iCs/>
        </w:rPr>
        <w:t xml:space="preserve">Remark 7</w:t>
      </w:r>
      <w:r>
        <w:t xml:space="preserve"> </w:t>
      </w:r>
      <w:r>
        <w:t xml:space="preserve">(Why</w:t>
      </w:r>
      <w:r>
        <w:t xml:space="preserve"> </w:t>
      </w:r>
      <w:r>
        <w:t xml:space="preserve">(b)</w:t>
      </w:r>
      <w:r>
        <w:t xml:space="preserve"> </w:t>
      </w:r>
      <w:r>
        <w:t xml:space="preserve">is stated for a scalar overlap score).</w:t>
      </w:r>
      <w:r>
        <w:t xml:space="preserve"> </w:t>
      </w:r>
      <w:r>
        <w:t xml:space="preserve"> </w:t>
      </w:r>
      <w:r>
        <w:t xml:space="preserve">Strict monotonicity in one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of a multi-feature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does not give (b). Take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10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l</m:t>
        </m:r>
        <m:r>
          <m:rPr>
            <m:sty m:val="p"/>
          </m:rPr>
          <m:t>e</m:t>
        </m:r>
      </m:oMath>
      <w:r>
        <w:t xml:space="preserve">, which is strictly</w:t>
      </w:r>
      <w:r>
        <w:t xml:space="preserve"> </w:t>
      </w:r>
      <w:r>
        <w:t xml:space="preserve">increasing in overlap. With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the scores are</w:t>
      </w:r>
      <w:r>
        <w:t xml:space="preserve"> </w:t>
      </w:r>
      <m:oMath>
        <m:r>
          <m:t>10.2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</m:oMath>
      <w:r>
        <w:t xml:space="preserve">: overlap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while the score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Comparing two inputs that</w:t>
      </w:r>
      <w:r>
        <w:t xml:space="preserve"> </w:t>
      </w:r>
      <w:r>
        <w:t xml:space="preserve">differ in other features therefore needs the whole map, which is why (b)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overlap alone. The lexical cosine of Section 7 satisfies that assumption by</w:t>
      </w:r>
      <w:r>
        <w:t xml:space="preserve"> </w:t>
      </w:r>
      <w:r>
        <w:t xml:space="preserve">construction; a learned reranker need not, which is why its behaviour is settled empirically</w:t>
      </w:r>
      <w:r>
        <w:t xml:space="preserve"> </w:t>
      </w:r>
      <w:r>
        <w:t xml:space="preserve">rather than by this proposition.</w:t>
      </w:r>
    </w:p>
    <w:bookmarkEnd w:id="51"/>
    <w:p>
      <w:pPr>
        <w:pStyle w:val="BodyText"/>
      </w:pPr>
      <w:r>
        <w:t xml:space="preserve">Because Proposition 2 binds a query-conditioned score only when it meets</w:t>
      </w:r>
      <w:r>
        <w:t xml:space="preserve"> </w:t>
      </w:r>
      <w:r>
        <w:t xml:space="preserve">hypothesis</w:t>
      </w:r>
      <w:r>
        <w:t xml:space="preserve"> </w:t>
      </w:r>
      <w:r>
        <w:t xml:space="preserve">(a)</w:t>
      </w:r>
      <w:r>
        <w:t xml:space="preserve"> </w:t>
      </w:r>
      <w:r>
        <w:t xml:space="preserve">or</w:t>
      </w:r>
      <w:r>
        <w:t xml:space="preserve"> </w:t>
      </w:r>
      <w:r>
        <w:t xml:space="preserve">(b)</w:t>
      </w:r>
      <w:r>
        <w:t xml:space="preserve"> </w:t>
      </w:r>
      <w:r>
        <w:t xml:space="preserve">(Remark 6), we treat the defeat of</w:t>
      </w:r>
      <w:r>
        <w:t xml:space="preserve"> </w:t>
      </w:r>
      <w:r>
        <w:t xml:space="preserve">query-conditioned relevance as an</w:t>
      </w:r>
      <w:r>
        <w:t xml:space="preserve"> </w:t>
      </w:r>
      <w:r>
        <w:rPr>
          <w:i/>
          <w:iCs/>
        </w:rPr>
        <w:t xml:space="preserve">empirical</w:t>
      </w:r>
      <w:r>
        <w:t xml:space="preserve"> </w:t>
      </w:r>
      <w:r>
        <w:t xml:space="preserve">result, demonstrated for the concrete</w:t>
      </w:r>
      <w:r>
        <w:t xml:space="preserve"> </w:t>
      </w:r>
      <w:r>
        <w:t xml:space="preserve">lexical-cosine score practitioners use and for the checkpoints of Section 7.4.2. In</w:t>
      </w:r>
      <w:r>
        <w:t xml:space="preserve"> </w:t>
      </w:r>
      <w:r>
        <w:t xml:space="preserve">Section 7 the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task realizes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 where the lexical</w:t>
      </w:r>
      <w:r>
        <w:t xml:space="preserve"> </w:t>
      </w:r>
      <w:r>
        <w:t xml:space="preserve">cosine and representative open-weight learned rankers—two dense bi-encoders (BGE, E5) and a</w:t>
      </w:r>
      <w:r>
        <w:t xml:space="preserve"> </w:t>
      </w:r>
      <w:r>
        <w:t xml:space="preserve">cross-encoder reranker—all mis-rank the pair (Section 7.4.2,</w:t>
      </w:r>
      <w:r>
        <w:t xml:space="preserve"> </w:t>
      </w:r>
      <w:r>
        <w:t xml:space="preserve">Table 3), so the topical class is not a lexical strawman. The same failure is</w:t>
      </w:r>
      <w:r>
        <w:t xml:space="preserve"> </w:t>
      </w:r>
      <w:r>
        <w:t xml:space="preserve">documented in the wild: language-model re-rankers are steered by lexical similarity across NQ,</w:t>
      </w:r>
      <w:r>
        <w:t xml:space="preserve"> </w:t>
      </w:r>
      <w:r>
        <w:t xml:space="preserve">LitQA2, and DRUID </w:t>
      </w:r>
      <w:r>
        <w:t xml:space="preserve">(Hagström, Nie, et al. 2025)</w:t>
      </w:r>
      <w:r>
        <w:t xml:space="preserve">, a corpus of real retrieved</w:t>
      </w:r>
      <w:r>
        <w:t xml:space="preserve"> </w:t>
      </w:r>
      <w:r>
        <w:t xml:space="preserve">contexts </w:t>
      </w:r>
      <w:r>
        <w:t xml:space="preserve">(Hagström, Marjanović, et al. 2025)</w:t>
      </w:r>
      <w:r>
        <w:t xml:space="preserve">; and semantically close but logically irrelevant passages defeat</w:t>
      </w:r>
      <w:r>
        <w:t xml:space="preserve"> </w:t>
      </w:r>
      <w:r>
        <w:t xml:space="preserve">retrievers and rerankers at scale, with a listwise evidence-reasoning agent as the</w:t>
      </w:r>
      <w:r>
        <w:t xml:space="preserve"> </w:t>
      </w:r>
      <w:r>
        <w:t xml:space="preserve">remedy </w:t>
      </w:r>
      <w:r>
        <w:t xml:space="preserve">(Chen et al. 2026)</w:t>
      </w:r>
      <w:r>
        <w:t xml:space="preserve">. An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reranker, which reads both documents and can</w:t>
      </w:r>
      <w:r>
        <w:t xml:space="preserve"> </w:t>
      </w:r>
      <w:r>
        <w:t xml:space="preserve">therefore condition on the private coordinate itself, ranks the trap correctly (</w:t>
      </w:r>
      <m:oMath>
        <m:r>
          <m:t>100</m:t>
        </m:r>
        <m:r>
          <m:rPr>
            <m:sty m:val="p"/>
          </m:rPr>
          <m:t>/</m:t>
        </m:r>
        <m:r>
          <m:t>100</m:t>
        </m:r>
      </m:oMath>
      <w:r>
        <w:t xml:space="preserve">), behaviour</w:t>
      </w:r>
      <w:r>
        <w:t xml:space="preserve"> </w:t>
      </w:r>
      <w:r>
        <w:t xml:space="preserve">Proposition 2 permits rather than predicts.</w:t>
      </w:r>
    </w:p>
    <w:bookmarkEnd w:id="52"/>
    <w:bookmarkEnd w:id="53"/>
    <w:bookmarkStart w:id="65" w:name="sec:estimator"/>
    <w:p>
      <w:pPr>
        <w:pStyle w:val="Heading1"/>
      </w:pPr>
      <w:r>
        <w:t xml:space="preserve">The decision-restricted deficiency surrogate and its uniform verification</w:t>
      </w:r>
    </w:p>
    <w:p>
      <w:pPr>
        <w:pStyle w:val="FirstParagraph"/>
      </w:pPr>
      <w:r>
        <w:t xml:space="preserve">The impossibility of Section 5 concerns the idealized user of a source; every</w:t>
      </w:r>
      <w:r>
        <w:t xml:space="preserve"> </w:t>
      </w:r>
      <w:r>
        <w:t xml:space="preserve">quantity we report, by contrast, comes from a single fixed model. This section builds the</w:t>
      </w:r>
      <w:r>
        <w:t xml:space="preserve"> </w:t>
      </w:r>
      <w:r>
        <w:t xml:space="preserve">instrument that connects the two: a surrogate that measures the order on the fixed rule, and a</w:t>
      </w:r>
      <w:r>
        <w:t xml:space="preserve"> </w:t>
      </w:r>
      <w:r>
        <w:t xml:space="preserve">distribution-free verification that makes each comparison auditable on a live model.</w:t>
      </w:r>
    </w:p>
    <w:bookmarkStart w:id="55" w:name="subsec:estimator-name"/>
    <w:p>
      <w:pPr>
        <w:pStyle w:val="Heading2"/>
      </w:pPr>
      <w:r>
        <w:t xml:space="preserve">The surrogate and its correct name</w:t>
      </w:r>
    </w:p>
    <w:p>
      <w:pPr>
        <w:pStyle w:val="FirstParagraph"/>
      </w:pPr>
      <w:r>
        <w:t xml:space="preserve">Exact garblings over text cannot be computed, and</w:t>
      </w:r>
      <w:r>
        <w:t xml:space="preserve"> </w:t>
      </w:r>
      <m:oMath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only partial, so instead we measure the</w:t>
      </w:r>
      <w:r>
        <w:t xml:space="preserve"> </w:t>
      </w:r>
      <w:r>
        <w:t xml:space="preserve">fixed-rule order of Definition 5. Fix the model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finite task</w:t>
      </w:r>
      <w:r>
        <w:t xml:space="preserve"> </w:t>
      </w:r>
      <w:r>
        <w:t xml:space="preserve">set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and define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, the worst amount by which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trails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across the tasks in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r>
                    <m:rPr>
                      <m:sty m:val="p"/>
                    </m:rPr>
                    <m:t>sup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D</m:t>
                  </m:r>
                </m:lim>
              </m:limLow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pass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of (2),</w:t>
      </w:r>
      <w:r>
        <w:t xml:space="preserve"> </w:t>
      </w:r>
      <w:r>
        <w:t xml:space="preserve">so (5) is a population functional and not a statistic; its</w:t>
      </w:r>
      <w:r>
        <w:t xml:space="preserve"> </w:t>
      </w:r>
      <w:r>
        <w:rPr>
          <w:i/>
          <w:iCs/>
        </w:rPr>
        <w:t xml:space="preserve">plug-in</w:t>
      </w:r>
      <w:r>
        <w:t xml:space="preserve"> </w:t>
      </w:r>
      <w:r>
        <w:t xml:space="preserve">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substitutes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cell, the</w:t>
      </w:r>
      <w:r>
        <w:t xml:space="preserve"> </w:t>
      </w:r>
      <w:r>
        <w:t xml:space="preserve">hat marking the sample quantity throughout. In population terms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to the dominance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 Definition 5,</w:t>
      </w:r>
      <w:r>
        <w:t xml:space="preserve"> </w:t>
      </w:r>
      <w:r>
        <w:t xml:space="preserve">and mutual positivity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-incomparability. Neither holds of the plug-in: at finite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certifies no dominance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no positive population gap, both carrying sampling</w:t>
      </w:r>
      <w:r>
        <w:t xml:space="preserve"> </w:t>
      </w:r>
      <w:r>
        <w:t xml:space="preserve">error and the maximum being selected besides. Section 6.2 supplies the</w:t>
      </w:r>
      <w:r>
        <w:t xml:space="preserve"> </w:t>
      </w:r>
      <w:r>
        <w:t xml:space="preserve">missing confidence statement, and that construction, not the sign of the plug-in, is the</w:t>
      </w:r>
      <w:r>
        <w:t xml:space="preserve"> </w:t>
      </w:r>
      <w:r>
        <w:t xml:space="preserve">inferential step on which every claim we call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rests.</w:t>
      </w:r>
    </w:p>
    <w:bookmarkStart w:id="54" w:name="rem:notlecam"/>
    <w:p>
      <w:pPr>
        <w:pStyle w:val="BodyText"/>
      </w:pPr>
      <w:r>
        <w:rPr>
          <w:i/>
          <w:iCs/>
        </w:rPr>
        <w:t xml:space="preserve">Remark 8</w:t>
      </w:r>
      <w:r>
        <w:t xml:space="preserve"> </w:t>
      </w:r>
      <w:r>
        <w:t xml:space="preserve">(This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 Cam deficiency).</w:t>
      </w:r>
      <w:r>
        <w:t xml:space="preserve"> </w:t>
      </w:r>
      <w:r>
        <w:t xml:space="preserve"> </w:t>
      </w:r>
      <w:r>
        <w:t xml:space="preserve">The Le Cam deficiency of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, experiments on a common state</w:t>
      </w:r>
      <w:r>
        <w:t xml:space="preserve"> </w:t>
      </w:r>
      <w:r>
        <w:t xml:space="preserve">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 kernels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cr m:val="script"/>
                <m:sty m:val="p"/>
              </m:rPr>
              <m:t>E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cr m:val="script"/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directed</w:t>
      </w:r>
      <w:r>
        <w:t xml:space="preserve"> </w:t>
      </w:r>
      <w:r>
        <w:t xml:space="preserve">quantity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rPr>
              <m:scr m:val="script"/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cr m:val="script"/>
              <m:sty m:val="p"/>
            </m:rPr>
            <m:t>F</m:t>
          </m:r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inf</m:t>
              </m:r>
            </m:e>
            <m:lim>
              <m:r>
                <m:t>G</m:t>
              </m:r>
            </m:lim>
          </m:limLow>
          <m:r>
            <m:t> 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lim>
          </m:limLow>
          <m:r>
            <m:t> </m:t>
          </m:r>
          <m:r>
            <m:rPr>
              <m:sty m:val="p"/>
            </m:rPr>
            <m:t>∥</m:t>
          </m:r>
          <m:r>
            <m:t> </m:t>
          </m:r>
          <m:r>
            <m:t>G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cr m:val="script"/>
                  <m:sty m:val="p"/>
                </m:rPr>
                <m:t>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κ</m:t>
              </m:r>
            </m:e>
            <m:sub>
              <m:r>
                <m:rPr>
                  <m:scr m:val="script"/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V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∥</m:t>
          </m:r>
          <m:r>
            <m:t>P</m:t>
          </m:r>
          <m:r>
            <m:rPr>
              <m:sty m:val="p"/>
            </m:rPr>
            <m:t>−</m:t>
          </m:r>
          <m:r>
            <m:t>Q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V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A</m:t>
              </m:r>
            </m:lim>
          </m:limLow>
          <m:r>
            <m:t> </m:t>
          </m:r>
          <m:r>
            <m:rPr>
              <m:sty m:val="p"/>
            </m:rPr>
            <m:t>|</m:t>
          </m:r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ranging over Markov kernels from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’s signal space to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’s, so that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the garbling relation</w:t>
      </w:r>
      <w:r>
        <w:t xml:space="preserve"> </w:t>
      </w:r>
      <m:oMath>
        <m:r>
          <m:rPr>
            <m:scr m:val="script"/>
            <m:sty m:val="p"/>
          </m:rPr>
          <m:t>E</m:t>
        </m:r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Definition 4 </w:t>
      </w:r>
      <w:r>
        <w:t xml:space="preserve">(Le Cam 1964, 1986; Torgersen 1991)</w:t>
      </w:r>
      <w:r>
        <w:t xml:space="preserve">. Its value depends on the</w:t>
      </w:r>
      <w:r>
        <w:t xml:space="preserve"> </w:t>
      </w:r>
      <w:r>
        <w:t xml:space="preserve">direction, on the normalization above (the supremum over events; the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form is twice it), and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rather than an average against a prior 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we import no constants from the</w:t>
      </w:r>
      <w:r>
        <w:t xml:space="preserve"> </w:t>
      </w:r>
      <w:r>
        <w:t xml:space="preserve">decision-theoretic reading of</w:t>
      </w:r>
      <w:r>
        <w:t xml:space="preserve"> </w:t>
      </w:r>
      <w:r>
        <w:t xml:space="preserve">Rooyen and Williamson (2014)</w:t>
      </w:r>
      <w:r>
        <w:t xml:space="preserve">, whose uniform excess-risk bound over a</w:t>
      </w:r>
      <w:r>
        <w:t xml:space="preserve"> </w:t>
      </w:r>
      <w:r>
        <w:rPr>
          <w:i/>
          <w:iCs/>
        </w:rPr>
        <w:t xml:space="preserve">normalized</w:t>
      </w:r>
      <w:r>
        <w:t xml:space="preserve"> </w:t>
      </w:r>
      <w:r>
        <w:t xml:space="preserve">bounded-loss class is tied to that normalization and unavailable under</w:t>
      </w:r>
      <w:r>
        <w:t xml:space="preserve"> </w:t>
      </w:r>
      <w:r>
        <w:t xml:space="preserve">unrestricted loss scaling. The quantity in</w:t>
      </w:r>
      <w:r>
        <w:t xml:space="preserve"> </w:t>
      </w:r>
      <w:r>
        <w:t xml:space="preserve">(5) performs no garbling minimization and uses a single fixed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w:r>
        <w:t xml:space="preserve">a fixed finite task set; it is a one-sided value/regret gap, not a deficiency. No general inequality</w:t>
      </w:r>
      <w:r>
        <w:t xml:space="preserve"> </w:t>
      </w:r>
      <w:r>
        <w:t xml:space="preserve">relates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to the true Le Cam deficiency for a fixed sub-optimal rule (it can be</w:t>
      </w:r>
      <w:r>
        <w:t xml:space="preserve"> </w:t>
      </w:r>
      <w:r>
        <w:t xml:space="preserve">larger or smaller in either direction). We therefore name (5) the</w:t>
      </w:r>
      <w:r>
        <w:t xml:space="preserve"> </w:t>
      </w:r>
      <w:r>
        <w:rPr>
          <w:i/>
          <w:iCs/>
        </w:rPr>
        <w:t xml:space="preserve">decision-restricted value-deficiency</w:t>
      </w:r>
      <w:r>
        <w:t xml:space="preserve"> </w:t>
      </w:r>
      <w:r>
        <w:t xml:space="preserve">and use</w:t>
      </w:r>
      <w:r>
        <w:t xml:space="preserve"> </w:t>
      </w:r>
      <w:r>
        <w:t xml:space="preserve">“Le Cam deficiency”</w:t>
      </w:r>
      <w:r>
        <w:t xml:space="preserve"> </w:t>
      </w:r>
      <w:r>
        <w:t xml:space="preserve">only as the conceptual</w:t>
      </w:r>
      <w:r>
        <w:t xml:space="preserve"> </w:t>
      </w:r>
      <w:r>
        <w:t xml:space="preserve">analogy that motivates a graded relaxation of the partial order. The one direction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transfer is qualitative: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realizes the for-all-tasks-in-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dominance</w:t>
      </w:r>
      <w:r>
        <w:t xml:space="preserve"> </w:t>
      </w:r>
      <w:r>
        <w:t xml:space="preserve">of Definition 5, the measurable shadow of Corollary 1.</w:t>
      </w:r>
    </w:p>
    <w:bookmarkEnd w:id="54"/>
    <w:bookmarkEnd w:id="55"/>
    <w:bookmarkStart w:id="58" w:name="subsec:certificate"/>
    <w:p>
      <w:pPr>
        <w:pStyle w:val="Heading2"/>
      </w:pPr>
      <w:r>
        <w:t xml:space="preserve">The uniform verification</w:t>
      </w:r>
    </w:p>
    <w:p>
      <w:pPr>
        <w:pStyle w:val="FirstParagraph"/>
      </w:pPr>
      <w:r>
        <w:t xml:space="preserve">The surrogate (5) selects the</w:t>
      </w:r>
      <w:r>
        <w:t xml:space="preserve"> </w:t>
      </w:r>
      <w:r>
        <w:rPr>
          <w:i/>
          <w:iCs/>
        </w:rPr>
        <w:t xml:space="preserve">argmax-gap</w:t>
      </w:r>
      <w:r>
        <w:t xml:space="preserve"> </w:t>
      </w:r>
      <w:r>
        <w:t xml:space="preserve">task, so a pointwise confidence</w:t>
      </w:r>
      <w:r>
        <w:t xml:space="preserve"> </w:t>
      </w:r>
      <w:r>
        <w:t xml:space="preserve">statement on a single task ignores the selection. We pay the multiplicity with an exact</w:t>
      </w:r>
      <w:r>
        <w:t xml:space="preserve"> </w:t>
      </w:r>
      <w:r>
        <w:t xml:space="preserve">Clopper–Pearson interval per cell and a union bound, which is distribution-free and finite-sample</w:t>
      </w:r>
      <w:r>
        <w:t xml:space="preserve"> </w:t>
      </w:r>
      <w:r>
        <w:t xml:space="preserve">valid.</w:t>
      </w:r>
    </w:p>
    <w:bookmarkStart w:id="56" w:name="prop:certificate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(Uniform incomparability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Within each cell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draw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i.i.d. Bernoulli PASS outcomes (see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 2). Let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exact (two-sided) Clopper–Pearson</w:t>
      </w:r>
      <w:r>
        <w:rPr>
          <w:i/>
          <w:iCs/>
        </w:rPr>
        <w:t xml:space="preserve"> </w:t>
      </w:r>
      <w:r>
        <w:rPr>
          <w:i/>
          <w:iCs/>
        </w:rPr>
        <w:t xml:space="preserve">interval </w:t>
      </w:r>
      <w:r>
        <w:rPr>
          <w:i/>
          <w:iCs/>
        </w:rPr>
        <w:t xml:space="preserve">(Clopper and Pearson 1934)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level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. By the Bonferroni/union bound </w:t>
      </w:r>
      <w:r>
        <w:rPr>
          <w:i/>
          <w:iCs/>
        </w:rPr>
        <w:t xml:space="preserve">(Bonferroni 1936)</w:t>
      </w:r>
      <w:r>
        <w:rPr>
          <w:i/>
          <w:iCs/>
        </w:rPr>
        <w:t xml:space="preserve"> </w:t>
      </w:r>
      <w:r>
        <w:rPr>
          <w:i/>
          <w:iCs/>
        </w:rPr>
        <w:t xml:space="preserve">over the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proportions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rPr>
          <w:i/>
          <w:iCs/>
        </w:rPr>
        <w:t xml:space="preserve">, all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hold simultaneously with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On that event,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scr m:val="script"/>
                  <m:sty m:val="p"/>
                </m:rPr>
                <m:t>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t> </m:t>
              </m:r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lower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i/>
          <w:iCs/>
        </w:rPr>
        <w:t xml:space="preserve">. Hence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verifies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Both directions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 off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same</w:t>
      </w:r>
      <w:r>
        <w:rPr>
          <w:i/>
          <w:iCs/>
        </w:rP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intervals and so are valid on the same coverage event. Consequently,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if both observed bounds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are positive</w:t>
      </w:r>
      <w:r>
        <w:rPr>
          <w:i/>
          <w:iCs/>
        </w:rPr>
        <w:t xml:space="preserve">, the joint incomparability claim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at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 no</w:t>
      </w:r>
      <w:r>
        <w:rPr>
          <w:i/>
          <w:iCs/>
        </w:rPr>
        <w:t xml:space="preserve"> </w:t>
      </w:r>
      <w:r>
        <w:rPr>
          <w:i/>
          <w:iCs/>
        </w:rPr>
        <w:t xml:space="preserve">additional correction. The condition is not decoration: coverage alone implies nothing about the</w:t>
      </w:r>
      <w:r>
        <w:rPr>
          <w:i/>
          <w:iCs/>
        </w:rPr>
        <w:t xml:space="preserve"> </w:t>
      </w:r>
      <w:r>
        <w:rPr>
          <w:i/>
          <w:iCs/>
        </w:rPr>
        <w:t xml:space="preserve">population gaps, which are identically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the same source. The</w:t>
      </w:r>
      <w:r>
        <w:rPr>
          <w:i/>
          <w:iCs/>
        </w:rPr>
        <w:t xml:space="preserve"> </w:t>
      </w:r>
      <w:r>
        <w:rPr>
          <w:i/>
          <w:iCs/>
        </w:rPr>
        <w:t xml:space="preserve">verification is one-sided, asserting nothing when the two bounds are not both positive,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 is frequentist: the probability of declaring incomparability when it does not hold is at</w:t>
      </w:r>
      <w:r>
        <w:rPr>
          <w:i/>
          <w:iCs/>
        </w:rPr>
        <w:t xml:space="preserve"> </w:t>
      </w:r>
      <w:r>
        <w:rPr>
          <w:i/>
          <w:iCs/>
        </w:rPr>
        <w:t xml:space="preserve">most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, which is not a posterior probability that the fixed sources satisfy the inequality. The matching quantity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 </m:t>
            </m:r>
            <m:sSub>
              <m:e>
                <m:r>
                  <m:t>U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sSub>
                  <m:e>
                    <m:r>
                      <m:t>W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t> 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is,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event,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upper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bound on the same supremum; the dominance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uses it to verify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the equivalence margin.</w:t>
      </w:r>
    </w:p>
    <w:bookmarkEnd w:id="56"/>
    <w:p>
      <w:pPr>
        <w:pStyle w:val="FirstParagraph"/>
      </w:pPr>
      <w:r>
        <w:t xml:space="preserve">A naive single-sample DKW bound under-covers this supremum, because the object is a maximum of</w:t>
      </w:r>
      <w:r>
        <w:t xml:space="preserve"> </w:t>
      </w:r>
      <w:r>
        <w:t xml:space="preserve">differences of binomial means across distinct cells and the verification selects the argmax-gap</w:t>
      </w:r>
      <w:r>
        <w:t xml:space="preserve"> </w:t>
      </w:r>
      <w:r>
        <w:t xml:space="preserve">cell, so the multiplicity must be paid explicitly rather than absorbed into a single-sample</w:t>
      </w:r>
      <w:r>
        <w:t xml:space="preserve"> </w:t>
      </w:r>
      <w:r>
        <w:t xml:space="preserve">envelope (Appendix A); the resulting construction aligns with recent statistical</w:t>
      </w:r>
      <w:r>
        <w:t xml:space="preserve"> </w:t>
      </w:r>
      <w:r>
        <w:t xml:space="preserve">guidance for black-box LLM evaluation (Appendix A).</w:t>
      </w:r>
    </w:p>
    <w:bookmarkStart w:id="57" w:name="ass:iid"/>
    <w:p>
      <w:pPr>
        <w:pStyle w:val="BodyText"/>
      </w:pPr>
      <w:r>
        <w:rPr>
          <w:b/>
          <w:bCs/>
        </w:rPr>
        <w:t xml:space="preserve">Assumption 2</w:t>
      </w:r>
      <w:r>
        <w:t xml:space="preserve"> </w:t>
      </w:r>
      <w:r>
        <w:t xml:space="preserve">(Sampling regime).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within a cell are i.i.d. Bernoulli draws of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Every draw is a</w:t>
      </w:r>
      <w:r>
        <w:t xml:space="preserve"> </w:t>
      </w:r>
      <w:r>
        <w:t xml:space="preserve">single completion (plus deterministic code extraction) from an independent call with no shared</w:t>
      </w:r>
      <w:r>
        <w:t xml:space="preserve"> </w:t>
      </w:r>
      <w:r>
        <w:t xml:space="preserve">state, which is what makes the binomial model of Assumption 2 reasonable rather than proved; we report</w:t>
      </w:r>
      <w:r>
        <w:t xml:space="preserve"> </w:t>
      </w:r>
      <w:r>
        <w:t xml:space="preserve">the decoding configuration in Section 7. Where draws are near-deterministic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stark cells) the Clopper–Pearson interval becomes one-sided but retains</w:t>
      </w:r>
      <w:r>
        <w:t xml:space="preserve"> </w:t>
      </w:r>
      <w:r>
        <w:t xml:space="preserve">nonzero width, so the verification stays conservative rather than degenerate.</w:t>
      </w:r>
    </w:p>
    <w:bookmarkEnd w:id="57"/>
    <w:bookmarkEnd w:id="58"/>
    <w:bookmarkStart w:id="61" w:name="subsec:interference"/>
    <w:p>
      <w:pPr>
        <w:pStyle w:val="Heading2"/>
      </w:pPr>
      <w:r>
        <w:t xml:space="preserve">The interference verification (anti-monotonicity)</w:t>
      </w:r>
    </w:p>
    <w:p>
      <w:pPr>
        <w:pStyle w:val="FirstParagraph"/>
      </w:pPr>
      <w:r>
        <w:t xml:space="preserve">The deficiency surrogate also detects a phenomenon the optimal-value order forbids but a fixed rule</w:t>
      </w:r>
      <w:r>
        <w:t xml:space="preserve"> </w:t>
      </w:r>
      <w:r>
        <w:t xml:space="preserve">can exhibit: supplying a</w:t>
      </w:r>
      <w:r>
        <w:t xml:space="preserve"> </w:t>
      </w:r>
      <w:r>
        <w:rPr>
          <w:i/>
          <w:iCs/>
        </w:rPr>
        <w:t xml:space="preserve">superset</w:t>
      </w:r>
      <w:r>
        <w:t xml:space="preserve"> </w:t>
      </w:r>
      <w:r>
        <w:t xml:space="preserve">source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(revealing strictly more coordinates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Definition 3) can</w:t>
      </w:r>
      <w:r>
        <w:t xml:space="preserve"> </w:t>
      </w:r>
      <w:r>
        <w:rPr>
          <w:i/>
          <w:iCs/>
        </w:rPr>
        <w:t xml:space="preserve">degrade</w:t>
      </w:r>
      <w:r>
        <w:t xml:space="preserve"> </w:t>
      </w:r>
      <w:r>
        <w:t xml:space="preserve">performance. Define the per-task</w:t>
      </w:r>
      <w:r>
        <w:t xml:space="preserve"> </w:t>
      </w:r>
      <w:r>
        <w:t xml:space="preserve">interference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t>T</m:t>
              </m:r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cr m:val="monospace"/>
              <m:sty m:val="p"/>
            </m:rPr>
            <m:t>none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second-difference (interaction) of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top 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We write the interaction as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(rather than a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would collide with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W</m:t>
        </m:r>
        <m:r>
          <m:rPr>
            <m:sty m:val="p"/>
          </m:rPr>
          <m:t>)</m:t>
        </m:r>
      </m:oMath>
      <w:r>
        <w:t xml:space="preserve">). A</w:t>
      </w:r>
      <w:r>
        <w:t xml:space="preserve"> </w:t>
      </w:r>
      <w:r>
        <w:t xml:space="preserve">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cell whose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at ceiling is the localized statement that</w:t>
      </w:r>
      <w:r>
        <w:t xml:space="preserve"> </w:t>
      </w:r>
      <w:r>
        <w:t xml:space="preserve">“more strictly-more-informative context hurts”</w:t>
      </w:r>
      <w:r>
        <w:t xml:space="preserve">;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reported alongside it as the</w:t>
      </w:r>
      <w:r>
        <w:t xml:space="preserve"> </w:t>
      </w:r>
      <w:r>
        <w:t xml:space="preserve">interaction term only (Remark 9).</w:t>
      </w:r>
    </w:p>
    <w:bookmarkStart w:id="59" w:name="prop:interference"/>
    <w:p>
      <w:pPr>
        <w:pStyle w:val="BodyText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(Interference verification).</w:t>
      </w:r>
      <w:r>
        <w:t xml:space="preserve"> </w:t>
      </w:r>
      <w:r>
        <w:t xml:space="preserve"> </w:t>
      </w:r>
      <w:r>
        <w:rPr>
          <w:i/>
          <w:iCs/>
        </w:rPr>
        <w:t xml:space="preserve">Fix a target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chosen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before</w:t>
      </w:r>
      <w:r>
        <w:rPr>
          <w:i/>
          <w:iCs/>
        </w:rPr>
        <w:t xml:space="preserve"> </w:t>
      </w:r>
      <w:r>
        <w:rPr>
          <w:i/>
          <w:iCs/>
        </w:rPr>
        <w:t xml:space="preserve">unblinding, and let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the harm contrast. With exact</w:t>
      </w:r>
      <w:r>
        <w:rPr>
          <w:i/>
          <w:iCs/>
        </w:rPr>
        <w:t xml:space="preserve"> </w:t>
      </w:r>
      <w:r>
        <w:rPr>
          <w:i/>
          <w:iCs/>
        </w:rPr>
        <w:t xml:space="preserve">Clopper–Pearson endpoints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noncoverage at most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 endpoint</w:t>
      </w:r>
      <w:r>
        <w:rPr>
          <w:i/>
          <w:iCs/>
        </w:rPr>
        <w:t xml:space="preserve"> </w:t>
      </w:r>
      <w:r>
        <w:rPr>
          <w:i/>
          <w:iCs/>
        </w:rPr>
        <w:t xml:space="preserve">on the two arms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(two</w:t>
      </w:r>
      <w:r>
        <w:rPr>
          <w:i/>
          <w:iCs/>
        </w:rPr>
        <w:t xml:space="preserve"> </w:t>
      </w:r>
      <w:r>
        <w:rPr>
          <w:i/>
          <w:iCs/>
        </w:rPr>
        <w:t xml:space="preserve">endpoints, union-bounding to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; the two unused endpoints of a two-sided interval are not</w:t>
      </w:r>
      <w:r>
        <w:rPr>
          <w:i/>
          <w:iCs/>
        </w:rPr>
        <w:t xml:space="preserve"> </w:t>
      </w:r>
      <w:r>
        <w:rPr>
          <w:i/>
          <w:iCs/>
        </w:rPr>
        <w:t xml:space="preserve">paid for),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is a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upper confidence bound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verifies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confidence</w:t>
      </w:r>
      <w:r>
        <w:rPr>
          <w:i/>
          <w:iCs/>
        </w:rP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rPr>
          <w:i/>
          <w:iCs/>
        </w:rPr>
        <w:t xml:space="preserve">. If instead the harmful cell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selected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candidates after unblinding, use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this is the same selection correction the verification applies to the deficiency surrogate</w:t>
      </w:r>
      <w:r>
        <w:rPr>
          <w:i/>
          <w:iCs/>
        </w:rPr>
        <w:t xml:space="preserve"> </w:t>
      </w:r>
      <w:r>
        <w:rPr>
          <w:i/>
          <w:iCs/>
        </w:rPr>
        <w:t xml:space="preserve">(the multiplicity is real: the selected cell is an argmax over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noisy gaps, so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single-sample sup inequality does not cover it), and omitting it would repeat the error we</w:t>
      </w:r>
      <w:r>
        <w:rPr>
          <w:i/>
          <w:iCs/>
        </w:rPr>
        <w:t xml:space="preserve"> </w:t>
      </w:r>
      <w:r>
        <w:rPr>
          <w:i/>
          <w:iCs/>
        </w:rPr>
        <w:t xml:space="preserve">criticize. Because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reads only the two arms it contrasts, the bound is insensitive to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none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we still report that baseline per cell, because guessability bears on whether the source</w:t>
      </w:r>
      <w:r>
        <w:rPr>
          <w:i/>
          <w:iCs/>
        </w:rPr>
        <w:t xml:space="preserve"> </w:t>
      </w:r>
      <w:r>
        <w:rPr>
          <w:i/>
          <w:iCs/>
        </w:rPr>
        <w:t xml:space="preserve">is genuinely private and hence on the incomparability reading (see Section 3.3).</w:t>
      </w:r>
    </w:p>
    <w:bookmarkEnd w:id="59"/>
    <w:bookmarkStart w:id="60" w:name="rem:psinotharm"/>
    <w:p>
      <w:pPr>
        <w:pStyle w:val="FirstParagraph"/>
      </w:pPr>
      <w:r>
        <w:rPr>
          <w:i/>
          <w:iCs/>
        </w:rPr>
        <w:t xml:space="preserve">Remark 9</w:t>
      </w:r>
      <w:r>
        <w:t xml:space="preserve"> </w:t>
      </w:r>
      <w:r>
        <w:t xml:space="preserve">(</w:t>
      </w:r>
      <m:oMath>
        <m:r>
          <m:rPr>
            <m:sty m:val="p"/>
          </m:rPr>
          <m:t>Ψ</m:t>
        </m:r>
      </m:oMath>
      <w:r>
        <w:t xml:space="preserve"> </w:t>
      </w:r>
      <w:r>
        <w:t xml:space="preserve">is interaction, not harm).</w:t>
      </w:r>
      <w:r>
        <w:t xml:space="preserve"> </w:t>
      </w:r>
      <w:r>
        <w:t xml:space="preserve"> </w:t>
      </w:r>
      <w:r>
        <w:t xml:space="preserve">The second difference must not be read as a harm measure. Writing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set function</w:t>
      </w:r>
      <w:r>
        <w:t xml:space="preserve"> </w:t>
      </w:r>
      <m:oMath>
        <m:r>
          <m:t>A</m:t>
        </m:r>
        <m:r>
          <m:rPr>
            <m:sty m:val="p"/>
          </m:rPr>
          <m:t>↦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the inequality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precisely the submodularity condition for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so a negative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what diminishing returns look like and is</w:t>
      </w:r>
      <w:r>
        <w:t xml:space="preserve"> </w:t>
      </w:r>
      <w:r>
        <w:t xml:space="preserve">consistent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monotone submodular. It does not imply that adding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hurt: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no degradation whatever. What the collapse violates is</w:t>
      </w:r>
      <w:r>
        <w:t xml:space="preserve"> </w:t>
      </w:r>
      <w:r>
        <w:rPr>
          <w:i/>
          <w:iCs/>
        </w:rPr>
        <w:t xml:space="preserve">monotonicity</w:t>
      </w:r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which is</w:t>
      </w:r>
      <w:r>
        <w:t xml:space="preserve"> </w:t>
      </w:r>
      <w:r>
        <w:t xml:space="preserve">the quantity we verify. In our data the two coincide in direction, and the contrast bound is</w:t>
      </w:r>
      <w:r>
        <w:t xml:space="preserve"> </w:t>
      </w:r>
      <w:r>
        <w:t xml:space="preserve">tighter than the four-term one because it spends its confidence budget on two intervals rather</w:t>
      </w:r>
      <w:r>
        <w:t xml:space="preserve"> </w:t>
      </w:r>
      <w:r>
        <w:t xml:space="preserve">than four.</w:t>
      </w:r>
    </w:p>
    <w:bookmarkEnd w:id="60"/>
    <w:bookmarkEnd w:id="61"/>
    <w:bookmarkStart w:id="63" w:name="subsec:antimono"/>
    <w:p>
      <w:pPr>
        <w:pStyle w:val="Heading2"/>
      </w:pPr>
      <w:r>
        <w:t xml:space="preserve">Anti-monotonicity as information non-monotonicity of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</w:p>
    <w:p>
      <w:pPr>
        <w:pStyle w:val="FirstParagraph"/>
      </w:pPr>
      <w:r>
        <w:t xml:space="preserve">A verified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on a ceiling-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cell is more than a curiosity: it is a falsification</w:t>
      </w:r>
      <w:r>
        <w:t xml:space="preserve"> </w:t>
      </w:r>
      <w:r>
        <w:t xml:space="preserve">of Blackwell superset-dominance</w:t>
      </w:r>
      <w:r>
        <w:t xml:space="preserve"> </w:t>
      </w:r>
      <w:r>
        <w:rPr>
          <w:i/>
          <w:iCs/>
        </w:rPr>
        <w:t xml:space="preserve">for the fixed model rule</w:t>
      </w:r>
      <w:r>
        <w:t xml:space="preserve">, and it pinpoints exactly where the</w:t>
      </w:r>
      <w:r>
        <w:t xml:space="preserve"> </w:t>
      </w:r>
      <w:r>
        <w:t xml:space="preserve">optimal-rule order (Theorem 1) and the realized rule diverge.</w:t>
      </w:r>
    </w:p>
    <w:bookmarkStart w:id="62" w:name="thm:antimono"/>
    <w:p>
      <w:pPr>
        <w:pStyle w:val="BodyText"/>
      </w:pPr>
      <w:r>
        <w:rPr>
          <w:b/>
          <w:bCs/>
        </w:rPr>
        <w:t xml:space="preserve">Theorem 3</w:t>
      </w:r>
      <w:r>
        <w:t xml:space="preserve"> </w:t>
      </w:r>
      <w:r>
        <w:t xml:space="preserve">(Information non-monotonicity of the model rule).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reveal a superset of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 coordinates, so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(Lemma 1). Call a rule</w:t>
      </w:r>
      <w:r>
        <w:rPr>
          <w:i/>
          <w:iCs/>
        </w:rPr>
        <w:t xml:space="preserve"> </w:t>
      </w:r>
      <m:oMath>
        <m:r>
          <m:t>δ</m:t>
        </m:r>
      </m:oMath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Blackwell-coherent on</w:t>
      </w:r>
      <w:r>
        <w:rPr>
          <w:i/>
          <w:i/>
          <w:iCs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if its realized</w:t>
      </w:r>
      <w:r>
        <w:rPr>
          <w:i/>
          <w:iCs/>
        </w:rPr>
        <w:t xml:space="preserve"> </w:t>
      </w:r>
      <w:r>
        <w:rPr>
          <w:i/>
          <w:iCs/>
        </w:rPr>
        <w:t xml:space="preserve">pass rate does not fall when it is handed the dominating source, that is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δ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the realized state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. Coherence in this</w:t>
      </w:r>
      <w:r>
        <w:rPr>
          <w:i/>
          <w:iCs/>
        </w:rPr>
        <w:t xml:space="preserve"> </w:t>
      </w:r>
      <w:r>
        <w:rPr>
          <w:i/>
          <w:iCs/>
        </w:rPr>
        <w:t xml:space="preserve">sense costs no information, and a coherent rule exists on every task: the pruning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deletes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’s block from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rPr>
          <w:i/>
          <w:iCs/>
        </w:rPr>
        <w:t xml:space="preserve">’s signal and acts as the identity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’s, so that the one rule is defined on both inputs, satisfies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sSub>
              <m:e>
                <m:r>
                  <m:t>δ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∘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 that state,</w:t>
      </w:r>
      <w:r>
        <w:rPr>
          <w:i/>
          <w:iCs/>
        </w:rPr>
        <w:t xml:space="preserve"> </w:t>
      </w:r>
      <w:r>
        <w:rPr>
          <w:i/>
          <w:iCs/>
        </w:rPr>
        <w:t xml:space="preserve">because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s</m:t>
        </m:r>
      </m:oMath>
      <w:r>
        <w:rPr>
          <w:i/>
          <w:iCs/>
        </w:rPr>
        <w:t xml:space="preserve">; no prior and</w:t>
      </w:r>
      <w:r>
        <w:rPr>
          <w:i/>
          <w:iCs/>
        </w:rPr>
        <w:t xml:space="preserve"> </w:t>
      </w:r>
      <w:r>
        <w:rPr>
          <w:i/>
          <w:iCs/>
        </w:rPr>
        <w:t xml:space="preserve">no averaging enter. The Bayes rule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deliberately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the exemplar here:</w:t>
      </w:r>
      <w:r>
        <w:rPr>
          <w:i/>
          <w:iCs/>
        </w:rPr>
        <w:t xml:space="preserve"> </w:t>
      </w:r>
      <w:r>
        <w:rPr>
          <w:i/>
          <w:iCs/>
        </w:rPr>
        <w:t xml:space="preserve">its value is monotone in the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-averaged register only, and monotonicity there is consistent</w:t>
      </w:r>
      <w:r>
        <w:rPr>
          <w:i/>
          <w:iCs/>
        </w:rPr>
        <w:t xml:space="preserve"> </w:t>
      </w:r>
      <w:r>
        <w:rPr>
          <w:i/>
          <w:iCs/>
        </w:rPr>
        <w:t xml:space="preserve">with a fall at a single state (Remark 1). If a fixed model rule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task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Blackwell-coherent: it violates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monotonicity under the garbling order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 In particular no monotone scalar</w:t>
      </w:r>
      <w:r>
        <w:rPr>
          <w:i/>
          <w:iCs/>
        </w:rPr>
        <w:t xml:space="preserve"> </w:t>
      </w:r>
      <w:r>
        <w:rPr>
          <w:i/>
          <w:iCs/>
        </w:rPr>
        <w:t xml:space="preserve">context-value score can predict</w:t>
      </w:r>
      <w:r>
        <w:rPr>
          <w:i/>
          <w:iCs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rPr>
          <w:i/>
          <w:iCs/>
        </w:rPr>
        <w:t xml:space="preserve">’s behaviour on</w:t>
      </w:r>
      <w:r>
        <w:rPr>
          <w:i/>
          <w:iCs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i/>
          <w:iCs/>
        </w:rPr>
        <w:t xml:space="preserve">.</w:t>
      </w:r>
    </w:p>
    <w:bookmarkEnd w:id="62"/>
    <w:p>
      <w:pPr>
        <w:pStyle w:val="BodyText"/>
      </w:pPr>
      <w:r>
        <w:t xml:space="preserve">Theorem 3 converts the empirical collapse into a structural statement: the harm is</w:t>
      </w:r>
      <w:r>
        <w:t xml:space="preserve"> </w:t>
      </w:r>
      <w:r>
        <w:t xml:space="preserve">not noise but a witness that real LLM decision rules are not Blackwell-coherent in the PASS</w:t>
      </w:r>
      <w:r>
        <w:t xml:space="preserve"> </w:t>
      </w:r>
      <w:r>
        <w:t xml:space="preserve">register, and the comparison is like-for-like: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beaten, at the same state and on the</w:t>
      </w:r>
      <w:r>
        <w:t xml:space="preserve"> </w:t>
      </w:r>
      <w:r>
        <w:t xml:space="preserve">same input, by its own pruned version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. The deficiency</w:t>
      </w:r>
      <w:r>
        <w:t xml:space="preserve"> </w:t>
      </w:r>
      <w:r>
        <w:t xml:space="preserve">surrogate detects this reversal because it tracks realized PASS, whereas every monotone scalar must</w:t>
      </w:r>
      <w:r>
        <w:t xml:space="preserve"> </w:t>
      </w:r>
      <w:r>
        <w:t xml:space="preserve">miss it by construction.</w:t>
      </w:r>
    </w:p>
    <w:bookmarkEnd w:id="63"/>
    <w:bookmarkStart w:id="64" w:name="subsec:fwer"/>
    <w:p>
      <w:pPr>
        <w:pStyle w:val="Heading2"/>
      </w:pPr>
      <w:r>
        <w:t xml:space="preserve">Family-wise error across the verified claims</w:t>
      </w:r>
    </w:p>
    <w:p>
      <w:pPr>
        <w:pStyle w:val="FirstParagraph"/>
      </w:pPr>
      <w:r>
        <w:t xml:space="preserve">Each verification above controls error</w:t>
      </w:r>
      <w:r>
        <w:t xml:space="preserve"> </w:t>
      </w:r>
      <w:r>
        <w:rPr>
          <w:i/>
          <w:iCs/>
        </w:rPr>
        <w:t xml:space="preserve">marginally</w:t>
      </w:r>
      <w:r>
        <w:t xml:space="preserve"> </w:t>
      </w:r>
      <w:r>
        <w:t xml:space="preserve">at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for its own claim</w:t>
      </w:r>
      <w:r>
        <w:t xml:space="preserve"> </w:t>
      </w:r>
      <w:r>
        <w:t xml:space="preserve">(incomparability via Proposition 3; interference via</w:t>
      </w:r>
      <w:r>
        <w:t xml:space="preserve"> </w:t>
      </w:r>
      <w:r>
        <w:t xml:space="preserve">Proposition 4). The unit of accounting is the</w:t>
      </w:r>
      <w:r>
        <w:t xml:space="preserve"> </w:t>
      </w:r>
      <w:r>
        <w:rPr>
          <w:i/>
          <w:iCs/>
        </w:rPr>
        <w:t xml:space="preserve">coverage event</w:t>
      </w:r>
      <w:r>
        <w:t xml:space="preserve">, not the</w:t>
      </w:r>
      <w:r>
        <w:t xml:space="preserve"> </w:t>
      </w:r>
      <w:r>
        <w:t xml:space="preserve">claim. Every statement that is a deterministic consequence of the 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holds simultaneously on the event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Proposition 3, and therefore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 no further</w:t>
      </w:r>
      <w:r>
        <w:t xml:space="preserve"> </w:t>
      </w:r>
      <w:r>
        <w:t xml:space="preserve">correction: this covers both incomparability directions, the dominance control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, whose endpoints are endpoints of those very intervals, and any per-task</w:t>
      </w:r>
      <w:r>
        <w:t xml:space="preserve"> </w:t>
      </w:r>
      <w:r>
        <w:t xml:space="preserve">strict win read off them. Adding a conclusion drawn from intervals already covered does not by</w:t>
      </w:r>
      <w:r>
        <w:t xml:space="preserve"> </w:t>
      </w:r>
      <w:r>
        <w:t xml:space="preserve">itself cost another Bonferroni factor. What does require fresh allocation is a conjunction</w:t>
      </w:r>
      <w:r>
        <w:t xml:space="preserve"> </w:t>
      </w:r>
      <w:r>
        <w:t xml:space="preserve">spanning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events, that is, claims reading cells outside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or intervals built at a</w:t>
      </w:r>
      <w:r>
        <w:t xml:space="preserve"> </w:t>
      </w:r>
      <w:r>
        <w:t xml:space="preserve">different level. The interference verification is of that kind, since it reads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 and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intervals are not in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event at all; conjunctions joining it to the incomparability family are</w:t>
      </w:r>
      <w:r>
        <w:t xml:space="preserve"> </w:t>
      </w:r>
      <w:r>
        <w:t xml:space="preserve">therefore reported as marginal per claim, and where a joint statement is wanted we allocate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events involved.</w:t>
      </w:r>
    </w:p>
    <w:p>
      <w:pPr>
        <w:pStyle w:val="BodyText"/>
      </w:pPr>
      <w:r>
        <w:t xml:space="preserve">The two verifications have different effective-</w:t>
      </w:r>
      <m:oMath>
        <m:r>
          <m:t>n</m:t>
        </m:r>
      </m:oMath>
      <w:r>
        <w:t xml:space="preserve"> </w:t>
      </w:r>
      <w:r>
        <w:t xml:space="preserve">requirements: incomparability is</w:t>
      </w:r>
      <w:r>
        <w:t xml:space="preserve"> </w:t>
      </w:r>
      <w:r>
        <w:t xml:space="preserve">carried by stark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cells whose intervals are tight, whereas a harm contrast on a milder</w:t>
      </w:r>
      <w:r>
        <w:t xml:space="preserve"> </w:t>
      </w:r>
      <w:r>
        <w:t xml:space="preserve">collapse spends more of the budget. This is why the four-term interaction bound left Opus short of</w:t>
      </w:r>
      <w:r>
        <w:t xml:space="preserve"> </w:t>
      </w:r>
      <w:r>
        <w:t xml:space="preserve">the margin while the two-arm contrast clears it (see Section 7.4.3); the power analysis</w:t>
      </w:r>
      <w:r>
        <w:t xml:space="preserve"> </w:t>
      </w:r>
      <w:r>
        <w:t xml:space="preserve">is in Appendix A.</w:t>
      </w:r>
    </w:p>
    <w:bookmarkEnd w:id="64"/>
    <w:bookmarkEnd w:id="65"/>
    <w:bookmarkStart w:id="99" w:name="sec:experiments"/>
    <w:p>
      <w:pPr>
        <w:pStyle w:val="Heading1"/>
      </w:pPr>
      <w:r>
        <w:t xml:space="preserve">Experiments</w:t>
      </w:r>
    </w:p>
    <w:p>
      <w:pPr>
        <w:pStyle w:val="FirstParagraph"/>
      </w:pPr>
      <w:r>
        <w:t xml:space="preserve">With the order (see Section 4), its impossibility consequence (see Section 5),</w:t>
      </w:r>
      <w:r>
        <w:t xml:space="preserve"> </w:t>
      </w:r>
      <w:r>
        <w:t xml:space="preserve">and the verification that measures it (see Section 6) in hand, we now instantiate the</w:t>
      </w:r>
      <w:r>
        <w:t xml:space="preserve"> </w:t>
      </w:r>
      <w:r>
        <w:t xml:space="preserve">theory on real language models. The design has three commitments. First, every reported number is an empirical PASS rate from live model</w:t>
      </w:r>
      <w:r>
        <w:t xml:space="preserve"> </w:t>
      </w:r>
      <w:r>
        <w:t xml:space="preserve">calls verified by an executable test harness; no value is modeled, simulated, or extrapolated.</w:t>
      </w:r>
      <w:r>
        <w:t xml:space="preserve"> </w:t>
      </w:r>
      <w:r>
        <w:t xml:space="preserve">Second, the two context sources are constructed to be</w:t>
      </w:r>
      <w:r>
        <w:t xml:space="preserve"> </w:t>
      </w:r>
      <w:r>
        <w:rPr>
          <w:i/>
          <w:iCs/>
        </w:rPr>
        <w:t xml:space="preserve">Blackwell-incomparable by construction</w:t>
      </w:r>
      <w:r>
        <w:t xml:space="preserve"> </w:t>
      </w:r>
      <w:r>
        <w:t xml:space="preserve">(see Section 7.1), so the incomparability theorem (Theorem 2) has a</w:t>
      </w:r>
      <w:r>
        <w:t xml:space="preserve"> </w:t>
      </w:r>
      <w:r>
        <w:t xml:space="preserve">non-vacuous instance to bite on. Third, every verified claim is reported with the exact sample</w:t>
      </w:r>
      <w:r>
        <w:t xml:space="preserve"> </w:t>
      </w:r>
      <w:r>
        <w:t xml:space="preserve">size, the Clopper–Pearson endpoints, and the per-cell PASS counts from which it is derived</w:t>
      </w:r>
      <w:r>
        <w:t xml:space="preserve"> </w:t>
      </w:r>
      <w:r>
        <w:t xml:space="preserve">(see Section 7.4), so the verification is auditable rather than asserted.</w:t>
      </w:r>
    </w:p>
    <w:bookmarkStart w:id="68" w:name="sec:design"/>
    <w:p>
      <w:pPr>
        <w:pStyle w:val="Heading2"/>
      </w:pPr>
      <w:r>
        <w:t xml:space="preserve">Design: two incomparable context sources</w:t>
      </w:r>
    </w:p>
    <w:p>
      <w:pPr>
        <w:pStyle w:val="FirstParagraph"/>
      </w:pPr>
      <w:r>
        <w:t xml:space="preserve">We define two</w:t>
      </w:r>
      <w:r>
        <w:t xml:space="preserve"> </w:t>
      </w:r>
      <w:r>
        <w:rPr>
          <w:i/>
          <w:iCs/>
        </w:rPr>
        <w:t xml:space="preserve">private, unguessable</w:t>
      </w:r>
      <w:r>
        <w:t xml:space="preserve"> </w:t>
      </w:r>
      <w:r>
        <w:t xml:space="preserve">conventions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t xml:space="preserve">matched on every nuisance axis (length, roughly three sentences, exactly one private convention</w:t>
      </w:r>
      <w:r>
        <w:t xml:space="preserve"> </w:t>
      </w:r>
      <w:r>
        <w:t xml:space="preserve">each, same module, same task shape). Because both are on-topic for any</w:t>
      </w:r>
      <w:r>
        <w:t xml:space="preserve"> </w:t>
      </w:r>
      <w:r>
        <w:t xml:space="preserve">“ledger”</w:t>
      </w:r>
      <w:r>
        <w:t xml:space="preserve"> </w:t>
      </w:r>
      <w:r>
        <w:t xml:space="preserve">task, any lexical,</w:t>
      </w:r>
      <w:r>
        <w:t xml:space="preserve"> </w:t>
      </w:r>
      <w:r>
        <w:t xml:space="preserve">embedding, mutual-information, or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score treats them as equally relevant</w:t>
      </w:r>
      <w:r>
        <w:t xml:space="preserve"> </w:t>
      </w:r>
      <w:r>
        <w:t xml:space="preserve">candidates, the precondition for Theorem 2 to apply.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API call contract.</w:t>
      </w:r>
    </w:p>
    <w:p>
      <w:pPr>
        <w:pStyle w:val="Definition"/>
      </w:pPr>
      <w:r>
        <w:rPr>
          <w:rStyle w:val="VerbatimChar"/>
        </w:rPr>
        <w:t xml:space="preserve">ledger.post(account, amount, *, memo)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second positional,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required keyword-only</w:t>
      </w:r>
      <w:r>
        <w:t xml:space="preserve"> </w:t>
      </w:r>
      <w:r>
        <w:t xml:space="preserve">argument;</w:t>
      </w:r>
      <w:r>
        <w:t xml:space="preserve"> </w:t>
      </w:r>
      <w:r>
        <w:t xml:space="preserve">returns an integer entry id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; raises</w:t>
      </w:r>
      <w:r>
        <w:t xml:space="preserve"> </w:t>
      </w:r>
      <w:r>
        <w:rPr>
          <w:rStyle w:val="VerbatimChar"/>
        </w:rPr>
        <w:t xml:space="preserve">ledger.PostError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KeyError</w:t>
      </w:r>
      <w:r>
        <w:t xml:space="preserve">) on failure.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wire-encoding invariant.</w:t>
      </w:r>
    </w:p>
    <w:p>
      <w:pPr>
        <w:pStyle w:val="Definition"/>
      </w:pPr>
      <w:r>
        <w:t xml:space="preserve">Amounts serialize to</w:t>
      </w:r>
      <w:r>
        <w:t xml:space="preserve"> </w:t>
      </w:r>
      <w:r>
        <w:rPr>
          <w:rStyle w:val="VerbatimChar"/>
        </w:rPr>
        <w:t xml:space="preserve">&lt;sign&gt;&lt;minor-unit-digits&gt;#&lt;check&gt;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sum of digits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10</m:t>
        </m:r>
      </m:oMath>
      <w:r>
        <w:t xml:space="preserve">; e.g. $12.30</w:t>
      </w:r>
      <w:r>
        <w:t xml:space="preserve"> </w:t>
      </w:r>
      <m:oMath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"+1230#6"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$</m:t>
        </m:r>
        <m:r>
          <m:t>0.07</m:t>
        </m:r>
        <m:r>
          <m:rPr>
            <m:sty m:val="p"/>
          </m:rPr>
          <m:t>↦</m:t>
        </m:r>
      </m:oMath>
      <w:r>
        <w:t xml:space="preserve"> </w:t>
      </w:r>
      <w:r>
        <w:rPr>
          <w:rStyle w:val="VerbatimChar"/>
        </w:rPr>
        <w:t xml:space="preserve">"-7#7"</w:t>
      </w:r>
      <w:r>
        <w:t xml:space="preserve">. Decoding rejects a wrong check digit.</w:t>
      </w:r>
    </w:p>
    <w:p>
      <w:pPr>
        <w:pStyle w:val="DefinitionTerm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literal superset.</w:t>
      </w:r>
    </w:p>
    <w:p>
      <w:pPr>
        <w:pStyle w:val="Definition"/>
      </w:pP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the concatenation of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’s. As a deterministic source revealing both coordinates, it</w:t>
      </w:r>
      <w:r>
        <w:t xml:space="preserve"> </w:t>
      </w:r>
      <w:r>
        <w:t xml:space="preserve">Blackwell-dominates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it is the anti-monotonicity / dominance probe. We also use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first) as an order control.</w:t>
      </w:r>
    </w:p>
    <w:bookmarkStart w:id="66" w:name="why-incomparable-garbling-argument."/>
    <w:p>
      <w:pPr>
        <w:pStyle w:val="Heading4"/>
      </w:pPr>
      <w:r>
        <w:t xml:space="preserve">Why incomparable (garbling argument).</w:t>
      </w:r>
    </w:p>
    <w:p>
      <w:pPr>
        <w:pStyle w:val="FirstParagraph"/>
      </w:pPr>
      <w:r>
        <w:t xml:space="preserve">The argument is simple. From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 format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private argument order,</w:t>
      </w:r>
      <w:r>
        <w:t xml:space="preserve"> </w:t>
      </w:r>
      <w:r>
        <w:t xml:space="preserve">its required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keyword, or its error type; from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contract you cannot recover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cents scale, its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separator, or its mod-10 check. Each source states a fact the</w:t>
      </w:r>
      <w:r>
        <w:t xml:space="preserve"> </w:t>
      </w:r>
      <w:r>
        <w:t xml:space="preserve">other leaves out, so neither is a blurred copy of the other,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incomparable. This</w:t>
      </w:r>
      <w:r>
        <w:t xml:space="preserve"> </w:t>
      </w:r>
      <w:r>
        <w:t xml:space="preserve">is exactly the coordinate picture of Section 3: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reveal different,</w:t>
      </w:r>
      <w:r>
        <w:t xml:space="preserve"> </w:t>
      </w:r>
      <w:r>
        <w:t xml:space="preserve">non-overlapping facts about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(Lemma 1).</w:t>
      </w:r>
    </w:p>
    <w:bookmarkEnd w:id="66"/>
    <w:bookmarkStart w:id="67" w:name="confound-defense-the-double-crossover."/>
    <w:p>
      <w:pPr>
        <w:pStyle w:val="Heading4"/>
      </w:pPr>
      <w:r>
        <w:t xml:space="preserve">Confound defense: the double crossover.</w:t>
      </w:r>
    </w:p>
    <w:p>
      <w:pPr>
        <w:pStyle w:val="FirstParagraph"/>
      </w:pPr>
      <w:r>
        <w:t xml:space="preserve">The key pattern is a</w:t>
      </w:r>
      <w:r>
        <w:t xml:space="preserve"> </w:t>
      </w:r>
      <w:r>
        <w:rPr>
          <w:i/>
          <w:iCs/>
        </w:rPr>
        <w:t xml:space="preserve">double crossover</w:t>
      </w:r>
      <w:r>
        <w:t xml:space="preserve">, measured against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 (no note</w:t>
      </w:r>
      <w:r>
        <w:t xml:space="preserve"> </w:t>
      </w:r>
      <w:r>
        <w:t xml:space="preserve">supplied):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raises the API tasks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encoding task,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raises the</w:t>
      </w:r>
      <w:r>
        <w:t xml:space="preserve"> </w:t>
      </w:r>
      <w:r>
        <w:t xml:space="preserve">encoding task but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API tasks. If encoding were simply</w:t>
      </w:r>
      <w:r>
        <w:t xml:space="preserve"> </w:t>
      </w:r>
      <w:r>
        <w:t xml:space="preserve">“harder,”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would fail to</w:t>
      </w:r>
      <w:r>
        <w:t xml:space="preserve"> </w:t>
      </w:r>
      <w:r>
        <w:t xml:space="preserve">help it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still have to raise it from the same floor. In the clean carrying cells the</w:t>
      </w:r>
      <w:r>
        <w:t xml:space="preserve"> </w:t>
      </w:r>
      <w:r>
        <w:t xml:space="preserve">deprived arms floor at or near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baseline, so the two task families are equally hard on</w:t>
      </w:r>
      <w:r>
        <w:t xml:space="preserve"> </w:t>
      </w:r>
      <w:r>
        <w:t xml:space="preserve">their own and any difference comes from the matching private fact, not from one family being harder;</w:t>
      </w:r>
      <w:r>
        <w:t xml:space="preserve"> </w:t>
      </w:r>
      <w:r>
        <w:t xml:space="preserve">when a model prior leaks a convention (Table A1), we report that leakage explicitly and</w:t>
      </w:r>
      <w:r>
        <w:t xml:space="preserve"> </w:t>
      </w:r>
      <w:r>
        <w:t xml:space="preserve">do not use those cells for claims that require a near-zero baseline.</w:t>
      </w:r>
    </w:p>
    <w:bookmarkEnd w:id="67"/>
    <w:bookmarkEnd w:id="68"/>
    <w:bookmarkStart w:id="71" w:name="sec:tasks"/>
    <w:p>
      <w:pPr>
        <w:pStyle w:val="Heading2"/>
      </w:pPr>
      <w:r>
        <w:t xml:space="preserve">Tasks</w:t>
      </w:r>
    </w:p>
    <w:p>
      <w:pPr>
        <w:pStyle w:val="FirstParagraph"/>
      </w:pPr>
      <w:r>
        <w:t xml:space="preserve">The full design comprises seven tasks with stub-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verifiers (return code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</m:oMath>
      <w:r>
        <w:t xml:space="preserve"> </w:t>
      </w:r>
      <w:r>
        <w:t xml:space="preserve">PASS):</w:t>
      </w:r>
      <w:r>
        <w:t xml:space="preserve"> </w:t>
      </w:r>
      <w:r>
        <w:t xml:space="preserve">four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 API tasks (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), two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 encoding tasks (</w:t>
      </w:r>
      <w:r>
        <w:rPr>
          <w:rStyle w:val="VerbatimChar"/>
        </w:rPr>
        <w:t xml:space="preserve">enc_amount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),</w:t>
      </w:r>
      <w:r>
        <w:t xml:space="preserve"> </w:t>
      </w:r>
      <w:r>
        <w:t xml:space="preserve">and one relevance trap (</w:t>
      </w:r>
      <w:r>
        <w:rPr>
          <w:rStyle w:val="VerbatimChar"/>
        </w:rPr>
        <w:t xml:space="preserve">trap_store_wire</w:t>
      </w:r>
      <w:r>
        <w:t xml:space="preserve">). 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 private contract (rejecting wrong positional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, or the wrong exception type).</w:t>
      </w:r>
    </w:p>
    <w:bookmarkStart w:id="69" w:name="verified-battery."/>
    <w:p>
      <w:pPr>
        <w:pStyle w:val="Heading4"/>
      </w:pPr>
      <w:r>
        <w:t xml:space="preserve">Verified battery.</w:t>
      </w:r>
    </w:p>
    <w:p>
      <w:pPr>
        <w:pStyle w:val="FirstParagraph"/>
      </w:pPr>
      <w:r>
        <w:t xml:space="preserve">The verified runs use a fixed four-cell battery: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(hardened so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through a parameter, forcing reliance on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 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. We disclose this reduction explicitly:</w:t>
      </w:r>
      <w:r>
        <w:t xml:space="preserve"> </w:t>
      </w:r>
      <w:r>
        <w:t xml:space="preserve">the three remaining designed cells (</w:t>
      </w:r>
      <w:r>
        <w:rPr>
          <w:rStyle w:val="VerbatimChar"/>
        </w:rPr>
        <w:t xml:space="preserve">api_error_type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api_memo_required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dec_amount</w:t>
      </w:r>
      <w:r>
        <w:t xml:space="preserve">) are not part of the verified battery. The four-cell selection was made to</w:t>
      </w:r>
      <w:r>
        <w:t xml:space="preserve"> </w:t>
      </w:r>
      <w:r>
        <w:t xml:space="preserve">retain at least one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-decisive, one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-decisive, and the trap cell while keeping the</w:t>
      </w:r>
      <w:r>
        <w:t xml:space="preserve"> </w:t>
      </w:r>
      <w:r>
        <w:t xml:space="preserve">cross-model spend tractable; we report below that this is best understood as a fixed adversarial</w:t>
      </w:r>
      <w:r>
        <w:t xml:space="preserve"> </w:t>
      </w:r>
      <w:r>
        <w:t xml:space="preserve">four-cell battery, not a sampled task distribution, and we state the effective support of the</w:t>
      </w:r>
      <w:r>
        <w:t xml:space="preserve"> </w:t>
      </w:r>
      <w:r>
        <w:t xml:space="preserve">deficiency surrogate accordingly (see Section 7.4.1).</w:t>
      </w:r>
    </w:p>
    <w:bookmarkEnd w:id="69"/>
    <w:bookmarkStart w:id="70" w:name="the-relevance-trap."/>
    <w:p>
      <w:pPr>
        <w:pStyle w:val="Heading4"/>
      </w:pPr>
      <w:r>
        <w:t xml:space="preserve">The relevance trap.</w:t>
      </w:r>
    </w:p>
    <w:p>
      <w:pPr>
        <w:pStyle w:val="FirstParagraph"/>
      </w:pPr>
      <w:r>
        <w:t xml:space="preserve">The trap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is a constructed test of the topicality condition in Proposition 2. Its</w:t>
      </w:r>
      <w:r>
        <w:t xml:space="preserve"> </w:t>
      </w:r>
      <w:r>
        <w:t xml:space="preserve">prompt is lexically saturated with encoding vocabulary, so a</w:t>
      </w:r>
      <w:r>
        <w:t xml:space="preserve"> </w:t>
      </w:r>
      <w:r>
        <w:rPr>
          <w:i/>
          <w:iCs/>
        </w:rPr>
        <w:t xml:space="preserve">query-conditioned</w:t>
      </w:r>
      <w:r>
        <w:t xml:space="preserve"> </w:t>
      </w:r>
      <w:r>
        <w:t xml:space="preserve">lexical</w:t>
      </w:r>
      <w:r>
        <w:t xml:space="preserve"> </w:t>
      </w:r>
      <w:r>
        <w:t xml:space="preserve">relevance score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 but its graded requirement is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call contract (it must</w:t>
      </w:r>
      <w:r>
        <w:t xml:space="preserve"> </w:t>
      </w:r>
      <w:r>
        <w:t xml:space="preserve">post an already-encoded wire string through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), so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defeats the query-conditioned relevance score practitioners actually use, not merely a</w:t>
      </w:r>
      <w:r>
        <w:t xml:space="preserve"> </w:t>
      </w:r>
      <w:r>
        <w:t xml:space="preserve">query-independent ranking. We measure relevance as bag-of-words cosine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a source and the task prompt,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model is run. We use lexical</w:t>
      </w:r>
      <w:r>
        <w:t xml:space="preserve"> </w:t>
      </w:r>
      <w:r>
        <w:t xml:space="preserve">cosine as the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instantiation of Proposition 2, the</w:t>
      </w:r>
      <w:r>
        <w:t xml:space="preserve"> </w:t>
      </w:r>
      <w:r>
        <w:t xml:space="preserve">cheapest member of the topical class; stronger learned rankers (dense bi-encoders, a</w:t>
      </w:r>
      <w:r>
        <w:t xml:space="preserve"> </w:t>
      </w:r>
      <w:r>
        <w:t xml:space="preserve">cross-encoder, and an LLM listwise reranker) are tested against the same trap separately in</w:t>
      </w:r>
      <w:r>
        <w:t xml:space="preserve"> </w:t>
      </w:r>
      <w:r>
        <w:t xml:space="preserve">Section 7.4.2, while the theorem (Theorem 2) is the general</w:t>
      </w:r>
      <w:r>
        <w:t xml:space="preserve"> </w:t>
      </w:r>
      <w:r>
        <w:t xml:space="preserve">claim for query-independent scalars.</w:t>
      </w:r>
    </w:p>
    <w:bookmarkEnd w:id="70"/>
    <w:bookmarkEnd w:id="71"/>
    <w:bookmarkStart w:id="81" w:name="sec:methodology"/>
    <w:p>
      <w:pPr>
        <w:pStyle w:val="Heading2"/>
      </w:pPr>
      <w:r>
        <w:t xml:space="preserve">Materials and Methods</w:t>
      </w:r>
    </w:p>
    <w:bookmarkStart w:id="72" w:name="models-and-vendors."/>
    <w:p>
      <w:pPr>
        <w:pStyle w:val="Heading4"/>
      </w:pPr>
      <w:r>
        <w:t xml:space="preserve">Models and vendors.</w:t>
      </w:r>
    </w:p>
    <w:p>
      <w:pPr>
        <w:pStyle w:val="FirstParagraph"/>
      </w:pPr>
      <w:r>
        <w:t xml:space="preserve">We evaluate six models across four vendors: Anthropic Haiku-4.5, Sonnet-4.6, and Opus-4.8; OpenAI</w:t>
      </w:r>
      <w:r>
        <w:t xml:space="preserve"> </w:t>
      </w:r>
      <w:r>
        <w:t xml:space="preserve">GPT-5.5; DeepSeek-V4-Pro; and Moonshot Kimi-K2.6. Nothing in this paper is trained or fine-tuned:</w:t>
      </w:r>
      <w:r>
        <w:t xml:space="preserve"> </w:t>
      </w:r>
      <w:r>
        <w:t xml:space="preserve">all six are fixed production systems accessed through their public APIs, so there are no training</w:t>
      </w:r>
      <w:r>
        <w:t xml:space="preserve"> </w:t>
      </w:r>
      <w:r>
        <w:t xml:space="preserve">or validation curves to report; the released measurement record, per-cell PASS tables, exact</w:t>
      </w:r>
      <w:r>
        <w:t xml:space="preserve"> </w:t>
      </w:r>
      <w:r>
        <w:t xml:space="preserve">intervals, and raw run logs, is the complete empirical object.</w:t>
      </w:r>
    </w:p>
    <w:bookmarkEnd w:id="72"/>
    <w:bookmarkStart w:id="74" w:name="harness-and-arms."/>
    <w:p>
      <w:pPr>
        <w:pStyle w:val="Heading4"/>
      </w:pPr>
      <w:r>
        <w:t xml:space="preserve">Harness and arms.</w:t>
      </w:r>
    </w:p>
    <w:p>
      <w:pPr>
        <w:pStyle w:val="FirstParagraph"/>
      </w:pPr>
      <w:r>
        <w:t xml:space="preserve">The harness (</w:t>
      </w:r>
      <w:r>
        <w:rPr>
          <w:rStyle w:val="VerbatimChar"/>
        </w:rPr>
        <w:t xml:space="preserve">harness/measure_blackwell.py</w:t>
      </w:r>
      <w:r>
        <w:t xml:space="preserve">; released with all run logs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is Python-standard-library only (zero</w:t>
      </w:r>
      <w:r>
        <w:t xml:space="preserve"> </w:t>
      </w:r>
      <w:r>
        <w:t xml:space="preserve">external dependencies); it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directions, the uniform</w:t>
      </w:r>
      <w:r>
        <w:t xml:space="preserve"> </w:t>
      </w:r>
      <w:r>
        <w:t xml:space="preserve">Clopper–Pearson/Bonferroni verification, the interference verification, and the lexical relevance</w:t>
      </w:r>
      <w:r>
        <w:t xml:space="preserve"> </w:t>
      </w:r>
      <w:r>
        <w:t xml:space="preserve">score, and it implements the launchers for the Anthropic Messages API, the Azure Responses API,</w:t>
      </w:r>
      <w:r>
        <w:t xml:space="preserve"> </w:t>
      </w:r>
      <w:r>
        <w:t xml:space="preserve">and OpenAI-compatible chat completions. Each cell is run under the arms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. PASS is measured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completions per cell.</w:t>
      </w:r>
    </w:p>
    <w:bookmarkEnd w:id="74"/>
    <w:bookmarkStart w:id="75" w:name="one-turn-budget-one-transport."/>
    <w:p>
      <w:pPr>
        <w:pStyle w:val="Heading4"/>
      </w:pPr>
      <w:r>
        <w:t xml:space="preserve">One turn budget, one transport.</w:t>
      </w:r>
    </w:p>
    <w:p>
      <w:pPr>
        <w:pStyle w:val="FirstParagraph"/>
      </w:pPr>
      <w:r>
        <w:t xml:space="preserve">Every model gets a single completion per attempt, from which we extract the candidate code and</w:t>
      </w:r>
      <w:r>
        <w:t xml:space="preserve"> </w:t>
      </w:r>
      <w:r>
        <w:t xml:space="preserve">grade it. All six are reached the same way: a single HTTP request the harness composes itself,</w:t>
      </w:r>
      <w:r>
        <w:t xml:space="preserve"> </w:t>
      </w:r>
      <w:r>
        <w:t xml:space="preserve">carrying only the task prompt, with no system prompt of our own and no tools available to the</w:t>
      </w:r>
      <w:r>
        <w:t xml:space="preserve"> </w:t>
      </w:r>
      <w:r>
        <w:t xml:space="preserve">model. The Anthropic models are served over the Messages API and the other three over an</w:t>
      </w:r>
      <w:r>
        <w:t xml:space="preserve"> </w:t>
      </w:r>
      <w:r>
        <w:t xml:space="preserve">OpenAI-style endpoint, but in both cases the request is one pass with no agentic exploration, so</w:t>
      </w:r>
      <w:r>
        <w:t xml:space="preserve"> </w:t>
      </w:r>
      <w:r>
        <w:t xml:space="preserve">the model must use what it is given. Cross-vendor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therefore no</w:t>
      </w:r>
      <w:r>
        <w:t xml:space="preserve"> </w:t>
      </w:r>
      <w:r>
        <w:t xml:space="preserve">longer carry a transport confound, though they remain subject to the ordinary caution that</w:t>
      </w:r>
      <w:r>
        <w:t xml:space="preserve"> </w:t>
      </w:r>
      <w:r>
        <w:t xml:space="preserve">vendors’ models differ in ways we do not control (see Section 8.4). The claims the paper</w:t>
      </w:r>
      <w:r>
        <w:t xml:space="preserve"> </w:t>
      </w:r>
      <w:r>
        <w:t xml:space="preserve">verifies are within-model comparisons between arms, where any remaining request-level detail is</w:t>
      </w:r>
      <w:r>
        <w:t xml:space="preserve"> </w:t>
      </w:r>
      <w:r>
        <w:t xml:space="preserve">held fixed and cancels.</w:t>
      </w:r>
    </w:p>
    <w:bookmarkEnd w:id="75"/>
    <w:bookmarkStart w:id="76" w:name="statistical-reporting."/>
    <w:p>
      <w:pPr>
        <w:pStyle w:val="Heading4"/>
      </w:pPr>
      <w:r>
        <w:t xml:space="preserve">Statistical reporting.</w:t>
      </w:r>
    </w:p>
    <w:p>
      <w:pPr>
        <w:pStyle w:val="FirstParagraph"/>
      </w:pPr>
      <w:r>
        <w:t xml:space="preserve">Each cell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independent completions scored by an executable verifier and summarised as a</w:t>
      </w:r>
      <w:r>
        <w:t xml:space="preserve"> </w:t>
      </w:r>
      <w:r>
        <w:t xml:space="preserve">count; the arms within a cell are separate completions, and each draw is an independent call with</w:t>
      </w:r>
      <w:r>
        <w:t xml:space="preserve"> </w:t>
      </w:r>
      <w:r>
        <w:t xml:space="preserve">no shared state (Assumption 2). Uncertainty is carried by exact Clopper–Pearson</w:t>
      </w:r>
      <w:r>
        <w:t xml:space="preserve"> </w:t>
      </w:r>
      <w:r>
        <w:t xml:space="preserve">intervals rather than a normal approximation, which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proportions near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where the approximation is worst (see Section A). Multiplicity is paid explicitly by a union</w:t>
      </w:r>
      <w:r>
        <w:t xml:space="preserve"> </w:t>
      </w:r>
      <w:r>
        <w:t xml:space="preserve">bound whose family is stated with each claim, at confidence budget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so the statements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family hold jointly with 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Incomparability spends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proportions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 both directions are read off those same intervals (Proposition 3); a harm</w:t>
      </w:r>
      <w:r>
        <w:t xml:space="preserve"> </w:t>
      </w:r>
      <w:r>
        <w:t xml:space="preserve">contrast spends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on its two arms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 verifies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through the upper bound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r>
              <m:t>T</m:t>
            </m:r>
          </m:sub>
        </m:sSub>
      </m:oMath>
      <w:r>
        <w:t xml:space="preserve"> </w:t>
      </w:r>
      <w:r>
        <w:t xml:space="preserve">(Proposition 4), the four-term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being reported descriptively only</w:t>
      </w:r>
      <w:r>
        <w:t xml:space="preserve"> </w:t>
      </w:r>
      <w:r>
        <w:t xml:space="preserve">(Remark 9). Each verification is thus controlled marginally at</w:t>
      </w:r>
      <w:r>
        <w:t xml:space="preserve"> </w:t>
      </w:r>
      <m:oMath>
        <m:r>
          <m:t>η</m:t>
        </m:r>
      </m:oMath>
      <w:r>
        <w:t xml:space="preserve">; we do not</w:t>
      </w:r>
      <w:r>
        <w:t xml:space="preserve"> </w:t>
      </w:r>
      <w:r>
        <w:t xml:space="preserve">claim joint control across the incomparability, dominance and interference families drawn from a</w:t>
      </w:r>
      <w:r>
        <w:t xml:space="preserve"> </w:t>
      </w:r>
      <w:r>
        <w:t xml:space="preserve">single run (see Sections 6.5 and 8.4).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interval</w:t>
      </w:r>
      <w:r>
        <w:t xml:space="preserve"> </w:t>
      </w:r>
      <w:r>
        <w:t xml:space="preserve">becomes one-sided but does not degenerate to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level</w:t>
      </w:r>
      <w:r>
        <w:t xml:space="preserve"> </w:t>
      </w:r>
      <w:r>
        <w:t xml:space="preserve">Figure 1 uses,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0.1281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0.8719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. It is that</w:t>
      </w:r>
      <w:r>
        <w:t xml:space="preserve"> </w:t>
      </w:r>
      <w:r>
        <w:t xml:space="preserve">residual width a crossing must beat, which is why the stark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cells verify 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intermediate proportions would need a larger one. Results whose intervals do not separate are</w:t>
      </w:r>
      <w:r>
        <w:t xml:space="preserve"> </w:t>
      </w:r>
      <w:r>
        <w:t xml:space="preserve">labeled</w:t>
      </w:r>
      <w:r>
        <w:t xml:space="preserve"> </w:t>
      </w:r>
      <w:r>
        <w:rPr>
          <w:i/>
          <w:iCs/>
        </w:rPr>
        <w:t xml:space="preserve">reproduced but not verified</w:t>
      </w:r>
      <w:r>
        <w:t xml:space="preserve"> </w:t>
      </w:r>
      <w:r>
        <w:t xml:space="preserve">and are never used as evidence; the protocol reports its</w:t>
      </w:r>
      <w:r>
        <w:t xml:space="preserve"> </w:t>
      </w:r>
      <w:r>
        <w:t xml:space="preserve">own insufficiency rather than hiding it. We report no</w:t>
      </w:r>
      <w:r>
        <w:t xml:space="preserve"> </w:t>
      </w:r>
      <m:oMath>
        <m:r>
          <m:t>p</m:t>
        </m:r>
      </m:oMath>
      <w:r>
        <w:t xml:space="preserve">-values and fit no model to the data.</w:t>
      </w:r>
    </w:p>
    <w:bookmarkEnd w:id="76"/>
    <w:bookmarkStart w:id="77" w:name="reproducibility-artifacts."/>
    <w:p>
      <w:pPr>
        <w:pStyle w:val="Heading4"/>
      </w:pPr>
      <w:r>
        <w:t xml:space="preserve">Reproducibility artifacts.</w:t>
      </w:r>
    </w:p>
    <w:p>
      <w:pPr>
        <w:pStyle w:val="FirstParagraph"/>
      </w:pPr>
      <w:r>
        <w:t xml:space="preserve">The measurement harness, every per-cell run log, every result file and the analysis scripts are</w:t>
      </w:r>
      <w:r>
        <w:t xml:space="preserve"> </w:t>
      </w:r>
      <w:r>
        <w:t xml:space="preserve">released (Data Availability Statement).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each record by SHA-256</w:t>
      </w:r>
      <w:r>
        <w:t xml:space="preserve"> </w:t>
      </w:r>
      <w:r>
        <w:t xml:space="preserve">and maps every table and figure to the files it is computed from, and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reports the transport and turn budget of each cited run</w:t>
      </w:r>
      <w:r>
        <w:t xml:space="preserve"> </w:t>
      </w:r>
      <w:r>
        <w:t xml:space="preserve">with the evidence for it. It is an inventory, not a proof: it checks only the runs on a fixed list,</w:t>
      </w:r>
      <w:r>
        <w:t xml:space="preserve"> </w:t>
      </w:r>
      <w:r>
        <w:t xml:space="preserve">and matches the disclosure wording against the manuscript globally rather than to the run it</w:t>
      </w:r>
      <w:r>
        <w:t xml:space="preserve"> </w:t>
      </w:r>
      <w:r>
        <w:t xml:space="preserve">describes. Appendix D gives the decoding configuration, the</w:t>
      </w:r>
      <w:r>
        <w:t xml:space="preserve"> </w:t>
      </w:r>
      <w:r>
        <w:t xml:space="preserve">retry and outage policy, and the cells that were re-measured, with why.</w:t>
      </w:r>
    </w:p>
    <w:bookmarkEnd w:id="77"/>
    <w:bookmarkStart w:id="78" w:name="why-these-constants."/>
    <w:p>
      <w:pPr>
        <w:pStyle w:val="Heading4"/>
      </w:pPr>
      <w:r>
        <w:t xml:space="preserve">Why these constants.</w:t>
      </w:r>
    </w:p>
    <w:p>
      <w:pPr>
        <w:pStyle w:val="FirstParagraph"/>
      </w:pPr>
      <w:r>
        <w:t xml:space="preserve">Both constants were fixed before the runs and neither is load-bearing.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conventional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family level, and the headline separations are near-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near-</w:t>
      </w:r>
      <m:oMath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so tightening it does not move the verified conclusions.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is an a priori materiality</w:t>
      </w:r>
      <w:r>
        <w:t xml:space="preserve"> </w:t>
      </w:r>
      <w:r>
        <w:t xml:space="preserve">threshold: to count, interference must destroy at least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PASS points, well above the interval</w:t>
      </w:r>
      <w:r>
        <w:t xml:space="preserve"> </w:t>
      </w:r>
      <w:r>
        <w:t xml:space="preserve">widths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so noise cannot clear it. The data show the threshold doing real work. Verified</w:t>
      </w:r>
      <w:r>
        <w:t xml:space="preserve"> </w:t>
      </w:r>
      <w:r>
        <w:t xml:space="preserve">collapses clear it with upper bounds from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(Table 4), and</w:t>
      </w:r>
      <w:r>
        <w:t xml:space="preserve"> </w:t>
      </w:r>
      <w:r>
        <w:t xml:space="preserve">the superset falls below the character-matched padding arm at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 </w:t>
      </w:r>
      <w:r>
        <w:t xml:space="preserve">on both control cells. What</w:t>
      </w:r>
      <w:r>
        <w:t xml:space="preserve"> </w:t>
      </w:r>
      <w:r>
        <w:t xml:space="preserve">shows the choice is not load-bearing is that</w:t>
      </w:r>
      <w:r>
        <w:t xml:space="preserve"> </w:t>
      </w:r>
      <w:r>
        <w:t xml:space="preserve">the verdict barely moves with it: every one of the twelve contrasts clears marginally for any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0.30</m:t>
        </m:r>
      </m:oMath>
      <w:r>
        <w:t xml:space="preserve">, and eleven of twelve up to</w:t>
      </w:r>
      <w:r>
        <w:t xml:space="preserve"> </w:t>
      </w:r>
      <m:oMath>
        <m:r>
          <m:t>0.50</m:t>
        </m:r>
      </m:oMath>
      <w:r>
        <w:t xml:space="preserve">, so halving or raising the</w:t>
      </w:r>
      <w:r>
        <w:t xml:space="preserve"> </w:t>
      </w:r>
      <w:r>
        <w:t xml:space="preserve">threshold leaves the conclusion intact. The margin is set by DeepSeek’s two cells, at</w:t>
      </w:r>
      <w:r>
        <w:t xml:space="preserve"> </w:t>
      </w:r>
      <m:oMath>
        <m:r>
          <m:rPr>
            <m:sty m:val="p"/>
          </m:rPr>
          <m:t>−</m:t>
        </m:r>
        <m:r>
          <m:t>0.384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0.540</m:t>
        </m:r>
      </m:oMath>
      <w:r>
        <w:t xml:space="preserve">, which are the first to drop out 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rises.</w:t>
      </w:r>
    </w:p>
    <w:bookmarkEnd w:id="78"/>
    <w:bookmarkStart w:id="79" w:name="what-the-intervals-do-not-cover."/>
    <w:p>
      <w:pPr>
        <w:pStyle w:val="Heading4"/>
      </w:pPr>
      <w:r>
        <w:t xml:space="preserve">What the intervals do not cover.</w:t>
      </w:r>
    </w:p>
    <w:p>
      <w:pPr>
        <w:pStyle w:val="FirstParagraph"/>
      </w:pPr>
      <w:r>
        <w:t xml:space="preserve">The Clopper–Pearson intervals carry sampling error under Assumption 2, a fixed success</w:t>
      </w:r>
      <w:r>
        <w:t xml:space="preserve"> </w:t>
      </w:r>
      <w:r>
        <w:t xml:space="preserve">probability per cell. They carry nothing else, and two components outside them are larger than they</w:t>
      </w:r>
      <w:r>
        <w:t xml:space="preserve"> </w:t>
      </w:r>
      <w:r>
        <w:t xml:space="preserve">are.</w:t>
      </w:r>
      <w:r>
        <w:t xml:space="preserve"> </w:t>
      </w:r>
      <w:r>
        <w:rPr>
          <w:i/>
          <w:iCs/>
        </w:rPr>
        <w:t xml:space="preserve">Model drift</w:t>
      </w:r>
      <w:r>
        <w:t xml:space="preserve">: successive re-measurements moved Opus’s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superset arm</w:t>
      </w:r>
      <w:r>
        <w:t xml:space="preserve"> </w:t>
      </w:r>
      <w:r>
        <w:t xml:space="preserve">from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and then to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, and DeepSeek’s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from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43</m:t>
        </m:r>
        <m:r>
          <m:rPr>
            <m:sty m:val="p"/>
          </m:rPr>
          <m:t>%</m:t>
        </m:r>
      </m:oMath>
      <w:r>
        <w:t xml:space="preserve">, both far</w:t>
      </w:r>
      <w:r>
        <w:t xml:space="preserve"> </w:t>
      </w:r>
      <w:r>
        <w:t xml:space="preserve">outside the nominal intervals for those cells.</w:t>
      </w:r>
      <w:r>
        <w:t xml:space="preserve"> </w:t>
      </w:r>
      <w:r>
        <w:rPr>
          <w:i/>
          <w:iCs/>
        </w:rPr>
        <w:t xml:space="preserve">Prompt wording</w:t>
      </w:r>
      <w:r>
        <w:t xml:space="preserve">: an earlier record traced a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52</m:t>
        </m:r>
        <m:r>
          <m:rPr>
            <m:sty m:val="p"/>
          </m:rPr>
          <m:t>%</m:t>
        </m:r>
      </m:oMath>
      <w:r>
        <w:t xml:space="preserve"> </w:t>
      </w:r>
      <w:r>
        <w:t xml:space="preserve">swing</w:t>
      </w:r>
      <w:r>
        <w:t xml:space="preserve"> </w:t>
      </w:r>
      <w:r>
        <w:t xml:space="preserve">on one cell to the prompt naming the call as</w:t>
      </w:r>
      <w:r>
        <w:t xml:space="preserve"> </w:t>
      </w:r>
      <w:r>
        <w:rPr>
          <w:rStyle w:val="VerbatimChar"/>
        </w:rPr>
        <w:t xml:space="preserve">ledger.post</w:t>
      </w:r>
      <w:r>
        <w:t xml:space="preserve">, an effect an order of magnitude</w:t>
      </w:r>
      <w:r>
        <w:t xml:space="preserve"> </w:t>
      </w:r>
      <w:r>
        <w:t xml:space="preserve">wider than any interval here, and each cell has exactly one prompt, so this component is not</w:t>
      </w:r>
      <w:r>
        <w:t xml:space="preserve"> </w:t>
      </w:r>
      <w:r>
        <w:t xml:space="preserve">modelled at all. Every verified quantity is therefore an inference about a (model snapshot, prompt,</w:t>
      </w:r>
      <w:r>
        <w:t xml:space="preserve"> </w:t>
      </w:r>
      <w:r>
        <w:t xml:space="preserve">default decoder, collection window) tuple, indexed by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(see Section 3.3) and by</w:t>
      </w:r>
      <w:r>
        <w:t xml:space="preserve"> </w:t>
      </w:r>
      <w:r>
        <w:t xml:space="preserve">the run it was drawn in, not a property of a vendor’s model line. We read that as a weakness: the</w:t>
      </w:r>
      <w:r>
        <w:t xml:space="preserve"> </w:t>
      </w:r>
      <w:r>
        <w:t xml:space="preserve">re-measurement bounds the drift component empirically, and the direction of every verdict survived</w:t>
      </w:r>
      <w:r>
        <w:t xml:space="preserve"> </w:t>
      </w:r>
      <w:r>
        <w:t xml:space="preserve">it.</w:t>
      </w:r>
    </w:p>
    <w:bookmarkEnd w:id="79"/>
    <w:bookmarkStart w:id="80" w:name="provenance."/>
    <w:p>
      <w:pPr>
        <w:pStyle w:val="Heading4"/>
      </w:pPr>
      <w:r>
        <w:t xml:space="preserve">Provenance.</w:t>
      </w:r>
    </w:p>
    <w:p>
      <w:pPr>
        <w:pStyle w:val="FirstParagraph"/>
      </w:pPr>
      <w:r>
        <w:t xml:space="preserve">Every cell of the six-model grid is read from that model’s own complete run, so each harm contrast</w:t>
      </w:r>
      <w:r>
        <w:t xml:space="preserve"> </w:t>
      </w:r>
      <w:r>
        <w:t xml:space="preserve">compares two arms collected in one window; the same holds for the four behavioural controls, which</w:t>
      </w:r>
      <w:r>
        <w:t xml:space="preserve"> </w:t>
      </w:r>
      <w:r>
        <w:t xml:space="preserve">share a single run, and for the second source pair. One substitution remains: the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 is taken from a retained re-measurement because the base run</w:t>
      </w:r>
      <w:r>
        <w:t xml:space="preserve"> </w:t>
      </w:r>
      <w:r>
        <w:t xml:space="preserve">logged an HTTP 500 there, so that one contrast is across windows and a shared model name and</w:t>
      </w:r>
      <w:r>
        <w:t xml:space="preserve"> </w:t>
      </w:r>
      <w:r>
        <w:t xml:space="preserve">transport do not establish a shared decoder (Appendix D). Raw completions were</w:t>
      </w:r>
      <w:r>
        <w:t xml:space="preserve"> </w:t>
      </w:r>
      <w:r>
        <w:t xml:space="preserve">retained for three of the six models (Appendix C.1); for the other three the record is</w:t>
      </w:r>
      <w:r>
        <w:t xml:space="preserve"> </w:t>
      </w:r>
      <w:r>
        <w:t xml:space="preserve">aggregate-only.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gives the run, and so the window, behind each number.</w:t>
      </w:r>
    </w:p>
    <w:bookmarkEnd w:id="80"/>
    <w:bookmarkEnd w:id="81"/>
    <w:bookmarkStart w:id="92" w:name="sec: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We report four findings: incomparability (see Section 7.4.1), the relevance mis-rank</w:t>
      </w:r>
      <w:r>
        <w:t xml:space="preserve"> </w:t>
      </w:r>
      <w:r>
        <w:t xml:space="preserve">(see Section 7.4.2), anti-monotonicity (see Section 7.4.3), and the</w:t>
      </w:r>
      <w:r>
        <w:t xml:space="preserve"> </w:t>
      </w:r>
      <w:r>
        <w:t xml:space="preserve">model-relative value of private context (see Section 7.4.4). Table 2</w:t>
      </w:r>
      <w:r>
        <w:t xml:space="preserve"> </w:t>
      </w:r>
      <w:r>
        <w:t xml:space="preserve">consolidates the per-model verdicts; Tables 4 and A1 give the</w:t>
      </w:r>
      <w:r>
        <w:t xml:space="preserve"> </w:t>
      </w:r>
      <w:r>
        <w:t xml:space="preserve">underlying quantities.</w:t>
      </w:r>
    </w:p>
    <w:bookmarkStart w:id="83" w:name="sec:results-incomp"/>
    <w:p>
      <w:pPr>
        <w:pStyle w:val="Heading3"/>
      </w:pPr>
      <w:r>
        <w:t xml:space="preserve">Incomparability verified on all six models</w:t>
      </w:r>
    </w:p>
    <w:p>
      <w:pPr>
        <w:pStyle w:val="FirstParagraph"/>
      </w:pPr>
      <w:r>
        <w:t xml:space="preserve">On every model the empirical deficiency is mutually positive,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the uniform lower bounds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in both directions clear zero,</w:t>
      </w:r>
      <w:r>
        <w:t xml:space="preserve"> </w:t>
      </w:r>
      <w:r>
        <w:t xml:space="preserve">verifying empirical incomparability 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2). The crossover is stark: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API and trap cells and fails encoding,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 encoding and fails the API</w:t>
      </w:r>
      <w:r>
        <w:t xml:space="preserve"> </w:t>
      </w:r>
      <w:r>
        <w:t xml:space="preserve">and trap cells. For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two directions are attained by different cells: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0.762</m:t>
        </m:r>
      </m:oMath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where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passes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none,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0.226</m:t>
        </m:r>
      </m:oMath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where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passes</w:t>
      </w:r>
      <w:r>
        <w:t xml:space="preserve"> 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none. The encoding contrast is the binding direction, narrower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reaches only</w:t>
      </w:r>
      <w:r>
        <w:t xml:space="preserve"> 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there.</w:t>
      </w:r>
    </w:p>
    <w:bookmarkStart w:id="82" w:name="the-six-model-claim-made-jointly."/>
    <w:p>
      <w:pPr>
        <w:pStyle w:val="Heading4"/>
      </w:pPr>
      <w:r>
        <w:t xml:space="preserve">The six-model claim, made jointly.</w:t>
      </w:r>
    </w:p>
    <w:p>
      <w:pPr>
        <w:pStyle w:val="FirstParagraph"/>
      </w:pPr>
      <w:r>
        <w:t xml:space="preserve">Proposition 3 controls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model’s run, so the per-model verifications above are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their conjunction across the roster is not. Rather than leave the six-model</w:t>
      </w:r>
      <w:r>
        <w:t xml:space="preserve"> </w:t>
      </w:r>
      <w:r>
        <w:t xml:space="preserve">statement marginal we pay for it: allocating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the six runs, i.e. per-</w:t>
      </w:r>
      <w:r>
        <w:rPr>
          <w:i/>
          <w:iCs/>
        </w:rPr>
        <w:t xml:space="preserve">interval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48</m:t>
        </m:r>
      </m:oMath>
      <w:r>
        <w:t xml:space="preserve">, which places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96</m:t>
        </m:r>
      </m:oMath>
      <w:r>
        <w:t xml:space="preserve"> </w:t>
      </w:r>
      <w:r>
        <w:t xml:space="preserve">in each tail, every one of the</w:t>
      </w:r>
      <w:r>
        <w:t xml:space="preserve"> </w:t>
      </w:r>
      <w:r>
        <w:t xml:space="preserve">twelve directions remains strictly positive,</w:t>
      </w:r>
      <w:r>
        <w:t xml:space="preserve"> </w:t>
      </w:r>
      <w:r>
        <w:t xml:space="preserve">binding at Haiku’s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0.146</m:t>
        </m:r>
      </m:oMath>
      <w:r>
        <w:t xml:space="preserve"> </w:t>
      </w:r>
      <w:r>
        <w:t xml:space="preserve">and reaching</w:t>
      </w:r>
      <w:r>
        <w:t xml:space="preserve"> </w:t>
      </w:r>
      <m:oMath>
        <m:r>
          <m:rPr>
            <m:sty m:val="p"/>
          </m:rPr>
          <m:t>+</m:t>
        </m:r>
        <m:r>
          <m:t>0.684</m:t>
        </m:r>
      </m:oMath>
      <w:r>
        <w:t xml:space="preserve"> </w:t>
      </w:r>
      <w:r>
        <w:t xml:space="preserve">on the stark cells.</w:t>
      </w:r>
      <w:r>
        <w:t xml:space="preserve"> </w:t>
      </w:r>
      <w:r>
        <w:t xml:space="preserve">The claim</w:t>
      </w:r>
      <w:r>
        <w:t xml:space="preserve"> </w:t>
      </w:r>
      <w:r>
        <w:t xml:space="preserve">“all six models are empirically incomparable”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Table 2 reports the per-model bounds;</w:t>
      </w:r>
      <w:r>
        <w:t xml:space="preserve"> </w:t>
      </w:r>
      <w:r>
        <w:t xml:space="preserve">the simultaneous ones are uniformly smaller by</w:t>
      </w:r>
      <w:r>
        <w:t xml:space="preserve"> </w:t>
      </w:r>
      <m:oMath>
        <m:r>
          <m:t>0.077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0.084</m:t>
        </m:r>
      </m:oMath>
      <w:r>
        <w:t xml:space="preserve"> </w:t>
      </w:r>
      <w:r>
        <w:t xml:space="preserve">and change no verdict.</w:t>
      </w:r>
    </w:p>
    <w:p>
      <w:pPr>
        <w:pStyle w:val="BodyText"/>
      </w:pPr>
      <w:r>
        <w:t xml:space="preserve">Because incomparability is a two-directional claim, both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bounds must be positive; the</w:t>
      </w:r>
      <w:r>
        <w:t xml:space="preserve"> </w:t>
      </w:r>
      <w:r>
        <w:t xml:space="preserve">smaller of the two is the binding one. Two cells carry each model’s verification, and which two</w:t>
      </w:r>
      <w:r>
        <w:t xml:space="preserve"> </w:t>
      </w:r>
      <w:r>
        <w:t xml:space="preserve">is model-specific: on five models they are one API cell and the encoding cell, while on</w:t>
      </w:r>
      <w:r>
        <w:t xml:space="preserve"> </w:t>
      </w:r>
      <w:r>
        <w:t xml:space="preserve">DeepSeek-V4-Pro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-over-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direction is carried by the</w:t>
      </w:r>
      <w:r>
        <w:t xml:space="preserve"> </w:t>
      </w:r>
      <w:r>
        <w:rPr>
          <w:i/>
          <w:iCs/>
        </w:rPr>
        <w:t xml:space="preserve">trap</w:t>
      </w:r>
      <w:r>
        <w:t xml:space="preserve"> </w:t>
      </w:r>
      <w:r>
        <w:t xml:space="preserve">cell rather than an</w:t>
      </w:r>
      <w:r>
        <w:t xml:space="preserve"> </w:t>
      </w:r>
      <w:r>
        <w:t xml:space="preserve">API cell (its API margins being smaller). The effective support of the surrogate is therefore two</w:t>
      </w:r>
      <w:r>
        <w:t xml:space="preserve"> </w:t>
      </w:r>
      <w:r>
        <w:t xml:space="preserve">cells per model, drawn from a battery of four. We therefore describe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as a fixed adversarial four-cell battery rather than a sampled task distribution: the</w:t>
      </w:r>
      <w:r>
        <w:t xml:space="preserve"> </w:t>
      </w:r>
      <w:r>
        <w:t xml:space="preserve">verification is valid for what it covers, and what it covers is a single hand-built API-versus-encoding</w:t>
      </w:r>
      <w:r>
        <w:t xml:space="preserve"> </w:t>
      </w:r>
      <w:r>
        <w:t xml:space="preserve">opposition run against six models—six rules on one pair,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held fixed</w:t>
      </w:r>
      <w:r>
        <w:t xml:space="preserve"> </w:t>
      </w:r>
      <w:r>
        <w:t xml:space="preserve">and only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varying, not six independent source-pair replications.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behind a</w:t>
      </w:r>
      <w:r>
        <w:t xml:space="preserve"> </w:t>
      </w:r>
      <w:r>
        <w:t xml:space="preserve">cell are repeated outputs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task, which is what the Bernoulli model of</w:t>
      </w:r>
      <w:r>
        <w:t xml:space="preserve"> </w:t>
      </w:r>
      <w:r>
        <w:t xml:space="preserve">Assumption 2 prices; no interval in this paper samples tasks.</w:t>
      </w:r>
    </w:p>
    <w:bookmarkEnd w:id="82"/>
    <w:bookmarkEnd w:id="83"/>
    <w:bookmarkStart w:id="84" w:name="sec:results-misrank"/>
    <w:p>
      <w:pPr>
        <w:pStyle w:val="Heading3"/>
      </w:pPr>
      <w:r>
        <w:t xml:space="preserve">The relevance score mis-ranks the sources</w:t>
      </w:r>
    </w:p>
    <w:p>
      <w:pPr>
        <w:pStyle w:val="FirstParagraph"/>
      </w:pPr>
      <w:r>
        <w:t xml:space="preserve">On the trap, query-conditioned lexical relevance ranks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&lt;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0.44</m:t>
        </m:r>
      </m:oMath>
      <w:r>
        <w:t xml:space="preserve">, so it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; yet realized PASS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all</w:t>
      </w:r>
      <w:r>
        <w:t xml:space="preserve"> </w:t>
      </w:r>
      <w:r>
        <w:t xml:space="preserve">six models (Haiku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 Sonnet, Opus, GPT-5.5, and Kimi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DeepSeek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0</m:t>
        </m:r>
        <m:r>
          <m:rPr>
            <m:sty m:val="p"/>
          </m:rPr>
          <m:t>%</m:t>
        </m:r>
      </m:oMath>
      <w:r>
        <w:t xml:space="preserve">). On the two non-trap cells relevance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PASS, on the API cells 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so does PASS, and on the encoding cell</w:t>
      </w:r>
      <w:r>
        <w:t xml:space="preserve"> </w:t>
      </w:r>
      <w:r>
        <w:t xml:space="preserve">relevance ranks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so does PASS, so the score fails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where utility diverges</w:t>
      </w:r>
      <w:r>
        <w:t xml:space="preserve"> </w:t>
      </w:r>
      <w:r>
        <w:t xml:space="preserve">from topicality, exactly the regime Theorem 2 and</w:t>
      </w:r>
      <w:r>
        <w:t xml:space="preserve"> </w:t>
      </w:r>
      <w:r>
        <w:t xml:space="preserve">Proposition 2 isolate.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floor on the trap is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all six models, 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there too, confirming both that the convention is</w:t>
      </w:r>
      <w:r>
        <w:t xml:space="preserve"> </w:t>
      </w:r>
      <w:r>
        <w:t xml:space="preserve">unguessable and that encoding knowledge is useless on this task.</w:t>
      </w:r>
    </w:p>
    <w:p>
      <w:pPr>
        <w:pStyle w:val="BodyText"/>
      </w:pPr>
      <w:r>
        <w:t xml:space="preserve">The ranker spectrum is the point here: dense retrievers and a cross-encoder fall for the trap</w:t>
      </w:r>
      <w:r>
        <w:t xml:space="preserve"> </w:t>
      </w:r>
      <w:r>
        <w:t xml:space="preserve">while a listwise reranker escapes it. To test whether the mis-rank extends beyond bag-of-words,</w:t>
      </w:r>
      <w:r>
        <w:t xml:space="preserve"> </w:t>
      </w:r>
      <w:r>
        <w:t xml:space="preserve">we scored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against the</w:t>
      </w:r>
      <w:r>
        <w:t xml:space="preserve"> </w:t>
      </w:r>
      <w:r>
        <w:t xml:space="preserve">probe tasks with representative open-weight rankers, two dense bi-encoders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bge-small-en-v1.5</w:t>
      </w:r>
      <w:r>
        <w:t xml:space="preserve">,</w:t>
      </w:r>
      <w:r>
        <w:t xml:space="preserve"> </w:t>
      </w:r>
      <w:r>
        <w:rPr>
          <w:rStyle w:val="VerbatimChar"/>
        </w:rPr>
        <w:t xml:space="preserve">e5-small-v2</w:t>
      </w:r>
      <w:r>
        <w:t xml:space="preserve">) and a cross-encoder reranker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ms-marco-MiniLM-L-6-v2</w:t>
      </w:r>
      <w:r>
        <w:t xml:space="preserve">), and with a RankGPT-style LLM</w:t>
      </w:r>
      <w:r>
        <w:t xml:space="preserve"> </w:t>
      </w:r>
      <w:r>
        <w:rPr>
          <w:i/>
          <w:iCs/>
        </w:rPr>
        <w:t xml:space="preserve">listwise</w:t>
      </w:r>
      <w:r>
        <w:t xml:space="preserve"> </w:t>
      </w:r>
      <w:r>
        <w:t xml:space="preserve">reranker (Haiku</w:t>
      </w:r>
      <w:r>
        <w:t xml:space="preserve"> </w:t>
      </w:r>
      <w:r>
        <w:t xml:space="preserve">one turn, seeing the task and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sources; both presentation orders;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judgments</w:t>
      </w:r>
      <w:r>
        <w:t xml:space="preserve"> </w:t>
      </w:r>
      <w:r>
        <w:t xml:space="preserve">per task). Table 3 reports the induced rankings. Every feature-based</w:t>
      </w:r>
      <w:r>
        <w:t xml:space="preserve"> </w:t>
      </w:r>
      <w:r>
        <w:t xml:space="preserve">ranker we tested mis-ranks the trap: both dense bi-encoders prefer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while</w:t>
      </w:r>
      <w:r>
        <w:t xml:space="preserve"> </w:t>
      </w:r>
      <w:r>
        <w:t xml:space="preserve">ranking both non-trap cells correctly, textbook topical behaviour, and the cross-encoder prefers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 with maximal confidence (logits</w:t>
      </w:r>
      <w:r>
        <w:t xml:space="preserve"> </w:t>
      </w:r>
      <m:oMath>
        <m:r>
          <m:rPr>
            <m:sty m:val="p"/>
          </m:rPr>
          <m:t>−</m:t>
        </m:r>
        <m:r>
          <m:t>5.63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+</m:t>
        </m:r>
        <m:r>
          <m:t>3.24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) while</w:t>
      </w:r>
      <w:r>
        <w:t xml:space="preserve"> </w:t>
      </w:r>
      <w:r>
        <w:t xml:space="preserve">being near-tied (and narrowly wrong) on the encoding cell. The LLM listwise reranker,</w:t>
      </w:r>
      <w:r>
        <w:t xml:space="preserve"> </w:t>
      </w:r>
      <w:r>
        <w:t xml:space="preserve">which can read the verifier-decisive coordinate rather than match surface features, tracks</w:t>
      </w:r>
      <w:r>
        <w:t xml:space="preserve"> </w:t>
      </w:r>
      <w:r>
        <w:t xml:space="preserve">realized PASS everywhere, unanimously:</w:t>
      </w:r>
      <w:r>
        <w:t xml:space="preserve"> </w:t>
      </w:r>
      <m:oMath>
        <m:r>
          <m:t>100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per task, split evenly across the two</w:t>
      </w:r>
      <w:r>
        <w:t xml:space="preserve"> </w:t>
      </w:r>
      <w:r>
        <w:t xml:space="preserve">presentation orders so that a ranker merely preferring the first document would show. Unanimity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puts the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Clopper–Pearson lower bound on the preference rate at</w:t>
      </w:r>
      <w:r>
        <w:t xml:space="preserve"> </w:t>
      </w:r>
      <m:oMath>
        <m:r>
          <m:t>0.964</m:t>
        </m:r>
      </m:oMath>
      <w:r>
        <w:t xml:space="preserve">;</w:t>
      </w:r>
      <w:r>
        <w:t xml:space="preserve"> </w:t>
      </w:r>
      <w:r>
        <w:t xml:space="preserve">at the pre-declared halfway checkpoint of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judgments it was</w:t>
      </w:r>
      <w:r>
        <w:t xml:space="preserve"> </w:t>
      </w:r>
      <m:oMath>
        <m:r>
          <m:t>0.929</m:t>
        </m:r>
      </m:oMath>
      <w:r>
        <w:t xml:space="preserve">,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judgments would</w:t>
      </w:r>
      <w:r>
        <w:t xml:space="preserve"> </w:t>
      </w:r>
      <w:r>
        <w:t xml:space="preserve">have bounded it only at</w:t>
      </w:r>
      <w:r>
        <w:t xml:space="preserve"> </w:t>
      </w:r>
      <m:oMath>
        <m:r>
          <m:t>0.692</m:t>
        </m:r>
      </m:oMath>
      <w:r>
        <w:t xml:space="preserve">, too close to chance for a claim about consistent ranking. This sits on the boundary</w:t>
      </w:r>
      <w:r>
        <w:t xml:space="preserve"> </w:t>
      </w:r>
      <w:r>
        <w:t xml:space="preserve">Proposition 2 draws: its hypothesis is</w:t>
      </w:r>
      <w:r>
        <w:t xml:space="preserve"> </w:t>
      </w:r>
      <w:r>
        <w:rPr>
          <w:i/>
          <w:iCs/>
        </w:rPr>
        <w:t xml:space="preserve">topicality</w:t>
      </w:r>
      <w:r>
        <w:t xml:space="preserve">, invariance to</w:t>
      </w:r>
      <w:r>
        <w:t xml:space="preserve"> </w:t>
      </w:r>
      <w:r>
        <w:t xml:space="preserve">the decisive coordinate, and the trap defeats the lexical, dense and cross-encoder checkpoints we</w:t>
      </w:r>
      <w:r>
        <w:t xml:space="preserve"> </w:t>
      </w:r>
      <w:r>
        <w:t xml:space="preserve">ran while sparing the one ranker that reads content. Two limits on how far this generalizes. The</w:t>
      </w:r>
      <w:r>
        <w:t xml:space="preserve"> </w:t>
      </w:r>
      <w:r>
        <w:t xml:space="preserve">three families are three checkpoints on one trap, so their failure is measured, not proved for the</w:t>
      </w:r>
      <w:r>
        <w:t xml:space="preserve"> </w:t>
      </w:r>
      <w:r>
        <w:t xml:space="preserve">families at large; and the proposition does not establish that a model call per candidate is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to escape, since a router reading public task metadata would also escape at no</w:t>
      </w:r>
      <w:r>
        <w:t xml:space="preserve"> </w:t>
      </w:r>
      <w:r>
        <w:t xml:space="preserve">such cost (Remark 6). What the measurement does show is that the scorers</w:t>
      </w:r>
      <w:r>
        <w:t xml:space="preserve"> </w:t>
      </w:r>
      <w:r>
        <w:t xml:space="preserve">actually deployed here, which read text, pay that price.</w:t>
      </w:r>
    </w:p>
    <w:bookmarkEnd w:id="84"/>
    <w:bookmarkStart w:id="89" w:name="sec:results-antimono"/>
    <w:p>
      <w:pPr>
        <w:pStyle w:val="Heading3"/>
      </w:pPr>
      <w:r>
        <w:t xml:space="preserve">Anti-monotonicity: a verified superset that hurts</w:t>
      </w:r>
    </w:p>
    <w:p>
      <w:pPr>
        <w:pStyle w:val="FirstParagraph"/>
      </w:pPr>
      <w:r>
        <w:t xml:space="preserve">The superset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which literally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signal, sharply degrades the API</w:t>
      </w:r>
      <w:r>
        <w:t xml:space="preserve"> </w:t>
      </w:r>
      <w:r>
        <w:t xml:space="preserve">cells relative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The per-task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verified negative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) on all twelve API cells, two per model, and so on every one of the</w:t>
      </w:r>
      <w:r>
        <w:t xml:space="preserve"> </w:t>
      </w:r>
      <w:r>
        <w:t xml:space="preserve">six models (Table 4, Figure 2). Those twelve are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verifications, each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for its own cell; the conjunction can be bought from the same</w:t>
      </w:r>
      <w:r>
        <w:t xml:space="preserve"> </w:t>
      </w:r>
      <w:r>
        <w:t xml:space="preserve">records, since spreading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across all twelve contrasts, a per-interval level of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endpoints, still leaves eleven clear of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with every model keeping at least one. The</w:t>
      </w:r>
      <w:r>
        <w:t xml:space="preserve"> </w:t>
      </w:r>
      <w:r>
        <w:t xml:space="preserve">roster-level statement</w:t>
      </w:r>
      <w:r>
        <w:t xml:space="preserve"> </w:t>
      </w:r>
      <w:r>
        <w:t xml:space="preserve">“on each of these six models some strict superset verifiably harms some</w:t>
      </w:r>
      <w:r>
        <w:t xml:space="preserve"> </w:t>
      </w:r>
      <w:r>
        <w:t xml:space="preserve">cell”</w:t>
      </w:r>
      <w:r>
        <w:t xml:space="preserve"> </w:t>
      </w:r>
      <w:r>
        <w:t xml:space="preserve">therefore holds</w:t>
      </w:r>
      <w:r>
        <w:t xml:space="preserve"> </w:t>
      </w:r>
      <w:r>
        <w:rPr>
          <w:i/>
          <w:iCs/>
        </w:rPr>
        <w:t xml:space="preserve">simultaneously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  <w:r>
        <w:t xml:space="preserve">, not merely model by model. The mildest</w:t>
      </w:r>
      <w:r>
        <w:t xml:space="preserve"> </w:t>
      </w:r>
      <w:r>
        <w:t xml:space="preserve">verified collapse is DeepSeek’s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68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at upper bound</w:t>
      </w:r>
      <w:r>
        <w:t xml:space="preserve"> </w:t>
      </w:r>
      <m:oMath>
        <m:r>
          <m:rPr>
            <m:sty m:val="p"/>
          </m:rPr>
          <m:t>−</m:t>
        </m:r>
        <m:r>
          <m:t>0.38</m:t>
        </m:r>
      </m:oMath>
      <w:r>
        <w:t xml:space="preserve">, the</w:t>
      </w:r>
      <w:r>
        <w:t xml:space="preserve"> </w:t>
      </w:r>
      <w:r>
        <w:t xml:space="preserve">one cell the joint budget drops; all twelve also survive a Bonferroni correction across the two</w:t>
      </w:r>
      <w:r>
        <w:t xml:space="preserve"> </w:t>
      </w:r>
      <w:r>
        <w:t xml:space="preserve">cells within each model. Haiku’s shallowest collapse is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shallow only because 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is not at ceiling. This is a verified empirical</w:t>
      </w:r>
      <w:r>
        <w:t xml:space="preserve"> </w:t>
      </w:r>
      <w:r>
        <w:t xml:space="preserve">falsification of 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</w:t>
      </w:r>
      <w:r>
        <w:t xml:space="preserve"> </w:t>
      </w:r>
      <w:r>
        <w:t xml:space="preserve">strictly-more-informative context can hurt, and the deficiency framework detects it precisely where</w:t>
      </w:r>
      <w:r>
        <w:t xml:space="preserve"> </w:t>
      </w:r>
      <w:r>
        <w:t xml:space="preserve">every monotone scalar must miss it. Table A1 gives the same collapse arm by arm for</w:t>
      </w:r>
      <w:r>
        <w:t xml:space="preserve"> </w:t>
      </w:r>
      <w:r>
        <w:t xml:space="preserve">every model.</w:t>
      </w:r>
    </w:p>
    <w:p>
      <w:pPr>
        <w:pStyle w:val="BodyText"/>
      </w:pPr>
      <w:r>
        <w:t xml:space="preserve">The idealized Blackwell order on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collapses the choice to the</w:t>
      </w:r>
      <w:r>
        <w:t xml:space="preserve"> </w:t>
      </w:r>
      <w:r>
        <w:t xml:space="preserve">superset: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reveals both coordinates,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w:r>
        <w:t xml:space="preserve">“more signal is better”</w:t>
      </w:r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alone. The verified empirical relation for the fixed</w:t>
      </w:r>
      <w:r>
        <w:t xml:space="preserve"> </w:t>
      </w:r>
      <w:r>
        <w:t xml:space="preserve">rule has the opposite shape (Figure 1):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the API cells,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encoding cell, 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verified incomparable pair,</w:t>
      </w:r>
      <w:r>
        <w:t xml:space="preserve"> </w:t>
      </w:r>
      <w:r>
        <w:t xml:space="preserve">so the</w:t>
      </w:r>
      <w:r>
        <w:t xml:space="preserve"> </w:t>
      </w:r>
      <w:r>
        <w:rPr>
          <w:i/>
          <w:iCs/>
        </w:rPr>
        <w:t xml:space="preserve">point estimate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is the two-element set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 an object no scalar top-</w:t>
      </w:r>
      <m:oMath>
        <m:r>
          <m:t>1</m:t>
        </m:r>
      </m:oMath>
      <w:r>
        <w:t xml:space="preserve"> </w:t>
      </w:r>
      <w:r>
        <w:t xml:space="preserve">rule can represent; the two-sided</w:t>
      </w:r>
      <w:r>
        <w:t xml:space="preserve"> </w:t>
      </w:r>
      <w:r>
        <w:t xml:space="preserve">inclusion below bounds it. Three sources over four cells need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coverage event, so all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are taken at 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; they hold jointly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and every relation in the figure is read off that single event.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Haiku record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0.2070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both positive,</w:t>
      </w:r>
      <w:r>
        <w:t xml:space="preserve"> </w:t>
      </w:r>
      <w:r>
        <w:t xml:space="preserve">which verifies the incomparable pair.</w:t>
      </w:r>
      <w:r>
        <w:t xml:space="preserve"> </w:t>
      </w:r>
      <w:r>
        <w:t xml:space="preserve">Non-dominance is likewise a</w:t>
      </w:r>
      <w:r>
        <w:t xml:space="preserve"> </w:t>
      </w:r>
      <w:r>
        <w:rPr>
          <w:i/>
          <w:iCs/>
        </w:rPr>
        <w:t xml:space="preserve">lower</w:t>
      </w:r>
      <w:r>
        <w:t xml:space="preserve">-bound statement, and the same event supplies it: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, witnessed by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 shows that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beats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on some cell, and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0.7439</m:t>
        </m:r>
      </m:oMath>
      <w:r>
        <w:t xml:space="preserve"> </w:t>
      </w:r>
      <w:r>
        <w:t xml:space="preserve">shows the converse, so neither dominates</w:t>
      </w:r>
      <w:r>
        <w:t xml:space="preserve"> </w:t>
      </w:r>
      <w:r>
        <w:t xml:space="preserve">the other. An upper bound could carry neither claim: it bounds how large an advantage</w:t>
      </w:r>
      <w:r>
        <w:t xml:space="preserve"> </w:t>
      </w:r>
      <w:r>
        <w:rPr>
          <w:i/>
          <w:iCs/>
        </w:rPr>
        <w:t xml:space="preserve">might</w:t>
      </w:r>
      <w:r>
        <w:t xml:space="preserve"> </w:t>
      </w:r>
      <w:r>
        <w:t xml:space="preserve">be, not that one exists. The relation the front turns on has only an upper bound,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0.1281</m:t>
        </m:r>
      </m:oMath>
      <w:r>
        <w:t xml:space="preserve">. That is an</w:t>
      </w:r>
      <w:r>
        <w:t xml:space="preserve"> </w:t>
      </w:r>
      <m:oMath>
        <m:r>
          <m:t>ε</m:t>
        </m:r>
      </m:oMath>
      <w:r>
        <w:t xml:space="preserve">-dominance rather than an exact one, saying</w:t>
      </w:r>
      <w:r>
        <w:t xml:space="preserve"> </w:t>
      </w:r>
      <w:r>
        <w:t xml:space="preserve">that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battery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by at most</w:t>
      </w:r>
      <w:r>
        <w:t xml:space="preserve"> </w:t>
      </w:r>
      <m:oMath>
        <m:r>
          <m:t>0.1281</m:t>
        </m:r>
      </m:oMath>
      <w:r>
        <w:t xml:space="preserve">, so excluding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licensed only up to that margin. What the coverage event establishes exactly is the</w:t>
      </w:r>
      <w:r>
        <w:t xml:space="preserve"> </w:t>
      </w:r>
      <w:r>
        <w:t xml:space="preserve">two-sided inclusion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}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t>F</m:t>
          </m:r>
          <m:r>
            <m:t> </m:t>
          </m:r>
          <m:r>
            <m:rPr>
              <m:sty m:val="p"/>
            </m:rPr>
            <m:t>⊆</m:t>
          </m:r>
          <m:r>
            <m:t> </m:t>
          </m:r>
          <m:r>
            <m:rPr>
              <m:sty m:val="p"/>
            </m:rPr>
            <m:t>{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1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-non-dominated front 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: both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verifiably in it,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 three-element front cannot be ruled out. The selection rule the</w:t>
      </w:r>
      <w:r>
        <w:t xml:space="preserve"> </w:t>
      </w:r>
      <w:r>
        <w:t xml:space="preserve">figure implies, keep the non-dominated set rather than force the superset, holds under either</w:t>
      </w:r>
      <w:r>
        <w:t xml:space="preserve"> </w:t>
      </w:r>
      <w:r>
        <w:t xml:space="preserve">reading.</w:t>
      </w:r>
    </w:p>
    <w:bookmarkStart w:id="85" w:name="fig:has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Two orders over the same three sources,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Left: the Blackwell order for the optimal user, where the</w:t>
      </w:r>
      <w:r>
        <w:t xml:space="preserve"> </w:t>
      </w:r>
      <w:r>
        <w:t xml:space="preserve">superset reveals both coordinates and dominates. Right: the order realized by the fixed</w:t>
      </w:r>
      <w:r>
        <w:t xml:space="preserve"> </w:t>
      </w:r>
      <w:r>
        <w:t xml:space="preserve">model rule,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read off a single coverage event over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Clopper–Pearson intervals (text above). A dashed edge is a verified incomparable pair; a dotted</w:t>
      </w:r>
      <w:r>
        <w:t xml:space="preserve"> </w:t>
      </w:r>
      <w:r>
        <w:t xml:space="preserve">edge is an</w:t>
      </w:r>
      <w:r>
        <w:t xml:space="preserve"> </w:t>
      </w:r>
      <m:oMath>
        <m:r>
          <m:t>ε</m:t>
        </m:r>
      </m:oMath>
      <w:r>
        <w:t xml:space="preserve">-dominance only,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0.1281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cannot be excluded</w:t>
      </w:r>
      <w:r>
        <w:t xml:space="preserve"> </w:t>
      </w:r>
      <w:r>
        <w:t xml:space="preserve">exactly.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arm is drawn only on the left, since it is outside that coverage family</w:t>
      </w:r>
      <w:r>
        <w:t xml:space="preserve"> </w:t>
      </w:r>
      <w:r>
        <w:t xml:space="preserve">and no relation to it is verified. The right-hand panel is therefore a verified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picture rather than a determined Hasse diagram: what it establishes is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t>F</m:t>
        </m:r>
        <m:r>
          <m:rPr>
            <m:sty m:val="p"/>
          </m:rPr>
          <m:t>⊆</m:t>
        </m:r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fig:fores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harm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on both API cells of every</w:t>
      </w:r>
      <w:r>
        <w:t xml:space="preserve"> </w:t>
      </w:r>
      <w:r>
        <w:t xml:space="preserve">model, with the bound that carries the verification. A cell is verified harmful when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clears</w:t>
      </w:r>
      <w:r>
        <w:t xml:space="preserve"> </w:t>
      </w:r>
      <m:oMath>
        <m:r>
          <m:rPr>
            <m:sty m:val="p"/>
          </m:rPr>
          <m:t>−</m:t>
        </m:r>
        <m:r>
          <m:t>τ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</m:t>
        </m:r>
      </m:oMath>
      <w:r>
        <w:t xml:space="preserve">, so a bar ending left of the dashed line is a verified</w:t>
      </w:r>
      <w:r>
        <w:t xml:space="preserve"> </w:t>
      </w:r>
      <w:r>
        <w:t xml:space="preserve">collapse. Thick bars are the marginal bounds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, one family per cell: all twelve</w:t>
      </w:r>
      <w:r>
        <w:t xml:space="preserve"> </w:t>
      </w:r>
      <w:r>
        <w:t xml:space="preserve">clear. Thin grey bars are the same contrasts under a single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spread across all twelve, at</w:t>
      </w:r>
      <w:r>
        <w:t xml:space="preserve"> </w:t>
      </w:r>
      <w:r>
        <w:t xml:space="preserve">per-interval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12</m:t>
        </m:r>
      </m:oMath>
      <w:r>
        <w:t xml:space="preserve">: eleven clear, and every model keeps at least one. Values are those of</w:t>
      </w:r>
      <w:r>
        <w:t xml:space="preserve"> </w:t>
      </w:r>
      <w:r>
        <w:t xml:space="preserve">Table 4, recomputed from the released per-cell counts.</w:t>
      </w:r>
    </w:p>
    <w:bookmarkEnd w:id="86"/>
    <w:bookmarkStart w:id="87" w:name="what-the-position-controls-show."/>
    <w:p>
      <w:pPr>
        <w:pStyle w:val="Heading4"/>
      </w:pPr>
      <w:r>
        <w:t xml:space="preserve">What the position controls show.</w:t>
      </w:r>
    </w:p>
    <w:p>
      <w:pPr>
        <w:pStyle w:val="FirstParagraph"/>
      </w:pPr>
      <w:r>
        <w:t xml:space="preserve">On Haiku, the collapse persists under reversal of the two source blocks, and character-matched</w:t>
      </w:r>
      <w:r>
        <w:t xml:space="preserve"> </w:t>
      </w:r>
      <w:r>
        <w:t xml:space="preserve">off-topic padding does not reproduce it. The padding control (Appendix B) fills</w:t>
      </w:r>
      <w:r>
        <w:t xml:space="preserve"> </w:t>
      </w:r>
      <w:r>
        <w:t xml:space="preserve">the slot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inside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 in both, and leaves the padded arm at ceiling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alone’s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): changing only that slot’s</w:t>
      </w:r>
      <w:r>
        <w:t xml:space="preserve"> </w:t>
      </w:r>
      <w:r>
        <w:t xml:space="preserve">content turns a harmless arm harmful. The</w:t>
      </w:r>
      <w:r>
        <w:t xml:space="preserve"> </w:t>
      </w:r>
      <w:r>
        <w:t xml:space="preserve">reversed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puts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first, over the same</w:t>
      </w:r>
      <w:r>
        <w:t xml:space="preserve"> </w:t>
      </w:r>
      <w:r>
        <w:t xml:space="preserve">transport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as the main table (</w:t>
      </w:r>
      <w:r>
        <w:rPr>
          <w:rStyle w:val="VerbatimChar"/>
        </w:rPr>
        <w:t xml:space="preserve">blackwell_controls_api_n40</w:t>
      </w:r>
      <w:r>
        <w:t xml:space="preserve">). The two</w:t>
      </w:r>
      <w:r>
        <w:t xml:space="preserve"> </w:t>
      </w:r>
      <w:r>
        <w:t xml:space="preserve">orderings are indistinguishable on both cells: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each take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 from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verified harmful at</w:t>
      </w:r>
      <w:r>
        <w:t xml:space="preserve"> </w:t>
      </w:r>
      <m:oMath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0.56</m:t>
        </m:r>
      </m:oMath>
      <w:r>
        <w:t xml:space="preserve"> </w:t>
      </w:r>
      <w:r>
        <w:t xml:space="preserve">respectively. Moving the added</w:t>
      </w:r>
      <w:r>
        <w:t xml:space="preserve"> </w:t>
      </w:r>
      <w:r>
        <w:t xml:space="preserve">block out of the primacy slot therefore changes neither the sign nor the size of the harm, which</w:t>
      </w:r>
      <w:r>
        <w:t xml:space="preserve"> </w:t>
      </w:r>
      <w:r>
        <w:t xml:space="preserve">constrains a positional account of the collapse without ruling one out for configurations we did</w:t>
      </w:r>
      <w:r>
        <w:t xml:space="preserve"> </w:t>
      </w:r>
      <w:r>
        <w:t xml:space="preserve">not test. On one model and in this configuration, the controls constrain positional and</w:t>
      </w:r>
      <w:r>
        <w:t xml:space="preserve"> </w:t>
      </w:r>
      <w:r>
        <w:t xml:space="preserve">gross-length explanations without identifying a unique cause or isolating tokenization,</w:t>
      </w:r>
      <w:r>
        <w:t xml:space="preserve"> </w:t>
      </w:r>
      <w:r>
        <w:t xml:space="preserve">processing difficulty, or the internal mechanism; the reversed arm bounds the</w:t>
      </w:r>
      <w:r>
        <w:t xml:space="preserve"> </w:t>
      </w:r>
      <w:r>
        <w:rPr>
          <w:i/>
          <w:iCs/>
        </w:rPr>
        <w:t xml:space="preserve">existence</w:t>
      </w:r>
      <w:r>
        <w:t xml:space="preserve"> </w:t>
      </w:r>
      <w:r>
        <w:t xml:space="preserve">of a positional explanation, not position’s contribution to the harm’s size.</w:t>
      </w:r>
    </w:p>
    <w:bookmarkEnd w:id="87"/>
    <w:bookmarkStart w:id="88" w:name="robust-across-the-capability-ladder."/>
    <w:p>
      <w:pPr>
        <w:pStyle w:val="Heading4"/>
      </w:pPr>
      <w:r>
        <w:t xml:space="preserve">Robust across the capability ladder.</w:t>
      </w:r>
    </w:p>
    <w:p>
      <w:pPr>
        <w:pStyle w:val="FirstParagraph"/>
      </w:pPr>
      <w:r>
        <w:t xml:space="preserve">The harm is large and robust across the Anthropic capability ladder. On the two API cells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collapse is Haiku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80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Sonnet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, and Opus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4). Both stronger models sit at the floor on both</w:t>
      </w:r>
      <w:r>
        <w:t xml:space="preserve"> </w:t>
      </w:r>
      <w:r>
        <w:t xml:space="preserve">cells, so this record orders neither for nor against a capability trend: an earlier two-point</w:t>
      </w:r>
      <w:r>
        <w:t xml:space="preserve"> </w:t>
      </w:r>
      <w:r>
        <w:t xml:space="preserve">reading suggested the harm</w:t>
      </w:r>
      <w:r>
        <w:t xml:space="preserve"> </w:t>
      </w:r>
      <w:r>
        <w:t xml:space="preserve">“intensifies with strength”</w:t>
      </w:r>
      <w:r>
        <w:t xml:space="preserve">, and we now claim only robustness</w:t>
      </w:r>
      <w:r>
        <w:t xml:space="preserve"> </w:t>
      </w:r>
      <w:r>
        <w:t xml:space="preserve">across the ladder, not a capability trend. All three Anthropic models collapse to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both</w:t>
      </w:r>
      <w:r>
        <w:t xml:space="preserve"> </w:t>
      </w:r>
      <w:r>
        <w:t xml:space="preserve">cells, so there is no residual spread to order. What survives is the negative claim, not the</w:t>
      </w:r>
      <w:r>
        <w:t xml:space="preserve"> </w:t>
      </w:r>
      <w:r>
        <w:t xml:space="preserve">ranking that motivated it.</w:t>
      </w:r>
    </w:p>
    <w:bookmarkEnd w:id="88"/>
    <w:bookmarkEnd w:id="89"/>
    <w:bookmarkStart w:id="90" w:name="sec:results-moat"/>
    <w:p>
      <w:pPr>
        <w:pStyle w:val="Heading3"/>
      </w:pPr>
      <w:r>
        <w:t xml:space="preserve">The model-relative value of private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“private”</w:t>
      </w:r>
      <w:r>
        <w:t xml:space="preserve"> </w:t>
      </w:r>
      <w:r>
        <w:t xml:space="preserve">conventions are genuinely unguessable for some vendors and partially known to others,</w:t>
      </w:r>
      <w:r>
        <w:t xml:space="preserve"> </w:t>
      </w:r>
      <w:r>
        <w:t xml:space="preserve">and this varies continuously.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-arm baseline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forms a clean</w:t>
      </w:r>
      <w:r>
        <w:t xml:space="preserve"> </w:t>
      </w:r>
      <w:r>
        <w:t xml:space="preserve">spectrum: Sonnet and Haiku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DeepSeek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, Kimi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, GPT-5.5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. Opus is</w:t>
      </w:r>
      <w:r>
        <w:t xml:space="preserve"> </w:t>
      </w:r>
      <w:r>
        <w:t xml:space="preserve">excluded from this comparison: it solves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unaided in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draws, so</w:t>
      </w:r>
      <w:r>
        <w:t xml:space="preserve"> </w:t>
      </w:r>
      <w:r>
        <w:t xml:space="preserve">for that model the cell measures no value of private context at all</w:t>
      </w:r>
      <w:r>
        <w:t xml:space="preserve"> </w:t>
      </w:r>
      <w:r>
        <w:t xml:space="preserve">(Table 2). So the value of the private context, the</w:t>
      </w:r>
      <w:r>
        <w:t xml:space="preserve"> </w:t>
      </w:r>
      <w:r>
        <w:t xml:space="preserve">model-relative guessability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Section 3.3, varies continuously across</w:t>
      </w:r>
      <w:r>
        <w:t xml:space="preserve"> </w:t>
      </w:r>
      <w:r>
        <w:t xml:space="preserve">models, and it is not ordered by capability. What it does track we cannot identify from these</w:t>
      </w:r>
      <w:r>
        <w:t xml:space="preserve"> </w:t>
      </w:r>
      <w:r>
        <w:t xml:space="preserve">runs. DeepSeek, a different vendor,</w:t>
      </w:r>
      <w:r>
        <w:t xml:space="preserve"> </w:t>
      </w:r>
      <w:r>
        <w:t xml:space="preserve">has a tight prior like the smaller Claude models, while GPT-5.5’s prior already holds much of the</w:t>
      </w:r>
      <w:r>
        <w:t xml:space="preserve"> </w:t>
      </w:r>
      <w:r>
        <w:t xml:space="preserve">convention (</w:t>
      </w:r>
      <w:r>
        <w:rPr>
          <w:rStyle w:val="VerbatimChar"/>
        </w:rPr>
        <w:t xml:space="preserve">api_argorder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), so a</w:t>
      </w:r>
      <w:r>
        <w:t xml:space="preserve"> </w:t>
      </w:r>
      <w:r>
        <w:t xml:space="preserve">“stronger-model-knows-more”</w:t>
      </w:r>
      <w:r>
        <w:t xml:space="preserve"> </w:t>
      </w:r>
      <w:r>
        <w:t xml:space="preserve">account does not fit. Utility-centric retrieval reaches the same</w:t>
      </w:r>
      <w:r>
        <w:t xml:space="preserve"> </w:t>
      </w:r>
      <w:r>
        <w:t xml:space="preserve">conclusion from the other side, the same passage carrying different utility for different</w:t>
      </w:r>
      <w:r>
        <w:t xml:space="preserve"> </w:t>
      </w:r>
      <w:r>
        <w:t xml:space="preserve">models </w:t>
      </w:r>
      <w:r>
        <w:t xml:space="preserve">(Zhang et al. 2025)</w:t>
      </w:r>
      <w:r>
        <w:t xml:space="preserve">; what the spectrum adds is the verified per-model floor. Within Anthropic the ordering</w:t>
      </w:r>
      <w:r>
        <w:t xml:space="preserve"> </w:t>
      </w:r>
      <w:r>
        <w:t xml:space="preserve">is not by capability either: Sonnet guesses none of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while Opus solves all</w:t>
      </w:r>
      <w:r>
        <w:t xml:space="preserve"> </w:t>
      </w:r>
      <w:r>
        <w:t xml:space="preserve">of it (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) with no context at all, which is an observed ceiling on that cell and not</w:t>
      </w:r>
      <w:r>
        <w:t xml:space="preserve"> </w:t>
      </w:r>
      <w:r>
        <w:t xml:space="preserve">evidence about what either model was trained on. The verified per-model claims rest on cells unguessable</w:t>
      </w:r>
      <w:r>
        <w:t xml:space="preserve"> </w:t>
      </w:r>
      <w:r>
        <w:rPr>
          <w:i/>
          <w:iCs/>
        </w:rPr>
        <w:t xml:space="preserve">for the model under test</w:t>
      </w:r>
      <w:r>
        <w:t xml:space="preserve"> </w:t>
      </w:r>
      <w:r>
        <w:t xml:space="preserve">(e.g. GPT-5.5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trap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%</m:t>
        </m:r>
      </m:oMath>
      <w:r>
        <w:t xml:space="preserve">).</w:t>
      </w:r>
    </w:p>
    <w:bookmarkEnd w:id="90"/>
    <w:bookmarkStart w:id="91" w:name="sec:results-audit"/>
    <w:p>
      <w:pPr>
        <w:pStyle w:val="Heading3"/>
      </w:pPr>
      <w:r>
        <w:t xml:space="preserve">What the failing replies contain</w:t>
      </w:r>
    </w:p>
    <w:p>
      <w:pPr>
        <w:pStyle w:val="FirstParagraph"/>
      </w:pPr>
      <w:r>
        <w:t xml:space="preserve">Raw completions were retained for the three Anthropic models’ rows of the interference table,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per arm and cell; the other three models’ rows are aggregate-only, so what follows is read</w:t>
      </w:r>
      <w:r>
        <w:t xml:space="preserve"> </w:t>
      </w:r>
      <w:r>
        <w:t xml:space="preserve">off half the table (Appendix C). Three text screens bear on the collapse, and all</w:t>
      </w:r>
      <w:r>
        <w:t xml:space="preserve"> </w:t>
      </w:r>
      <w:r>
        <w:t xml:space="preserve">three come back negative on the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replies of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arms there. The extractor</w:t>
      </w:r>
      <w:r>
        <w:t xml:space="preserve"> </w:t>
      </w:r>
      <w:r>
        <w:t xml:space="preserve">returned a non-empty code block on every one of them;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the task</w:t>
      </w:r>
      <w:r>
        <w:t xml:space="preserve"> </w:t>
      </w:r>
      <w:r>
        <w:t xml:space="preserve">needs is present in</w:t>
      </w:r>
      <w:r>
        <w:t xml:space="preserve"> </w:t>
      </w:r>
      <m:oMath>
        <m:r>
          <m:t>239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 superset replies and</w:t>
      </w:r>
      <w:r>
        <w:t xml:space="preserve"> </w:t>
      </w:r>
      <m:oMath>
        <m:r>
          <m:t>233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replies, the</w:t>
      </w:r>
      <w:r>
        <w:t xml:space="preserve"> </w:t>
      </w:r>
      <w:r>
        <w:t xml:space="preserve">absences concentrated in the arm that passes; and a refusal screen over an explicit phrase list</w:t>
      </w:r>
      <w:r>
        <w:t xml:space="preserve"> </w:t>
      </w:r>
      <w:r>
        <w:t xml:space="preserve">matches none. Each screen excludes what it tests—an empty extraction, a missing import, refusal</w:t>
      </w:r>
      <w:r>
        <w:t xml:space="preserve"> </w:t>
      </w:r>
      <w:r>
        <w:t xml:space="preserve">language—rather than every packaging or declining behaviour, and none was run on the three</w:t>
      </w:r>
      <w:r>
        <w:t xml:space="preserve"> </w:t>
      </w:r>
      <w:r>
        <w:t xml:space="preserve">models whose draws were not retained.</w:t>
      </w:r>
      <w:r>
        <w:t xml:space="preserve"> </w:t>
      </w:r>
      <w:r>
        <w:rPr>
          <w:i/>
          <w:iCs/>
        </w:rPr>
        <w:t xml:space="preserve">The harmful arm is verbose</w:t>
      </w:r>
      <w:r>
        <w:t xml:space="preserve">: on Haiku the mean reply runs</w:t>
      </w:r>
      <w:r>
        <w:t xml:space="preserve"> </w:t>
      </w:r>
      <m:oMath>
        <m:r>
          <m:t>105</m:t>
        </m:r>
      </m:oMath>
      <w:r>
        <w:t xml:space="preserve"> </w:t>
      </w:r>
      <w:r>
        <w:t xml:space="preserve">characters against</w:t>
      </w:r>
      <w:r>
        <w:t xml:space="preserve"> </w:t>
      </w:r>
      <m:oMath>
        <m:r>
          <m:t>477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459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633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the same inflation reported in Section 8.3.</w:t>
      </w:r>
    </w:p>
    <w:p>
      <w:pPr>
        <w:pStyle w:val="BodyText"/>
      </w:pPr>
      <w:r>
        <w:t xml:space="preserve">What the retained text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is the mechanism. A textual flag for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wire</w:t>
      </w:r>
      <w:r>
        <w:t xml:space="preserve"> </w:t>
      </w:r>
      <w:r>
        <w:t xml:space="preserve">encoding appearing in the reply, stated as a rule in Appendix C.1, fires on</w:t>
      </w:r>
      <w:r>
        <w:t xml:space="preserve"> </w:t>
      </w:r>
      <m:oMath>
        <m:r>
          <m:t>240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 superset replies across the three models and both collapse cells and on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replies. It also fires on</w:t>
      </w:r>
      <w:r>
        <w:t xml:space="preserve"> </w:t>
      </w:r>
      <m:oMath>
        <m:r>
          <m:t>238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replies in those cells, every one of which</w:t>
      </w:r>
      <w:r>
        <w:t xml:space="preserve"> </w:t>
      </w:r>
      <w:r>
        <w:t xml:space="preserve">fails the API verifier, so it is not a test of correctness. These counts describe an output</w:t>
      </w:r>
      <w:r>
        <w:t xml:space="preserve"> </w:t>
      </w:r>
      <w:r>
        <w:t xml:space="preserve">pattern associated with the source condition; they do not identify an internal cause.</w:t>
      </w:r>
      <w:r>
        <w:t xml:space="preserve"> </w:t>
      </w:r>
      <w:r>
        <w:t xml:space="preserve">Theorem 3 constrains any rule whose PASS falls under a strict superset, whatever</w:t>
      </w:r>
      <w:r>
        <w:t xml:space="preserve"> </w:t>
      </w:r>
      <w:r>
        <w:t xml:space="preserve">that cause turns out to be.</w:t>
      </w:r>
    </w:p>
    <w:bookmarkEnd w:id="91"/>
    <w:bookmarkEnd w:id="92"/>
    <w:bookmarkStart w:id="93" w:name="sec:results-generality"/>
    <w:p>
      <w:pPr>
        <w:pStyle w:val="Heading2"/>
      </w:pPr>
      <w:r>
        <w:t xml:space="preserve">Generality and controls (summary)</w:t>
      </w:r>
    </w:p>
    <w:p>
      <w:pPr>
        <w:pStyle w:val="FirstParagraph"/>
      </w:pPr>
      <w:r>
        <w:t xml:space="preserve">Four follow-up experiments address three threat axes (source-pair generality, the context-length</w:t>
      </w:r>
      <w:r>
        <w:t xml:space="preserve"> </w:t>
      </w:r>
      <w:r>
        <w:t xml:space="preserve">confound, and prompt-curability of the collapse); full protocols and numbers are</w:t>
      </w:r>
      <w:r>
        <w:t xml:space="preserve"> </w:t>
      </w:r>
      <w:r>
        <w:t xml:space="preserve">in Appendix B.</w:t>
      </w:r>
      <w:r>
        <w:t xml:space="preserve"> </w:t>
      </w:r>
      <w:r>
        <w:rPr>
          <w:b/>
          <w:bCs/>
        </w:rPr>
        <w:t xml:space="preserve">(i) A second incomparable pair, different domain</w:t>
      </w:r>
      <w:r>
        <w:t xml:space="preserve">: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-module contract versus a key-normalization invariant is again verified incomparable</w:t>
      </w:r>
      <w:r>
        <w:t xml:space="preserve"> </w:t>
      </w:r>
      <w:r>
        <w:t xml:space="preserve">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), over the same transport as the six-model</w:t>
      </w:r>
      <w:r>
        <w:t xml:space="preserve"> </w:t>
      </w:r>
      <w:r>
        <w:t xml:space="preserve">record. The superset also collapses the contract cell,</w:t>
      </w:r>
      <w:r>
        <w:t xml:space="preserve"> </w:t>
      </w:r>
      <m:oMath>
        <m:r>
          <m:t>35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at an upper bound of</w:t>
      </w:r>
      <w:r>
        <w:t xml:space="preserve"> </w:t>
      </w:r>
      <m:oMath>
        <m:r>
          <m:rPr>
            <m:sty m:val="p"/>
          </m:rPr>
          <m:t>−</m:t>
        </m:r>
        <m:r>
          <m:t>0.62</m:t>
        </m:r>
      </m:oMath>
      <w:r>
        <w:t xml:space="preserve"> </w:t>
      </w:r>
      <w:r>
        <w:t xml:space="preserve">once the budget is spread over the pair’s three contrasts, so the second domain carries a</w:t>
      </w:r>
      <w:r>
        <w:t xml:space="preserve"> </w:t>
      </w:r>
      <w:r>
        <w:t xml:space="preserve">verified collapse of its own; on the trap cell the effect is mild and unverified,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(Section 8.4).</w:t>
      </w:r>
      <w:r>
        <w:t xml:space="preserve"> </w:t>
      </w:r>
      <w:r>
        <w:rPr>
          <w:b/>
          <w:bCs/>
        </w:rPr>
        <w:t xml:space="preserve">(ii) Length-matched</w:t>
      </w:r>
      <w:r>
        <w:rPr>
          <w:b/>
          <w:bCs/>
        </w:rPr>
        <w:t xml:space="preserve"> </w:t>
      </w:r>
      <w:r>
        <w:rPr>
          <w:b/>
          <w:bCs/>
        </w:rPr>
        <w:t xml:space="preserve">padding</w:t>
      </w:r>
      <w:r>
        <w:t xml:space="preserve">: an equally long filler arm stays at ceiling on both collapse cells (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’s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alone’s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), which constrains the gross-length</w:t>
      </w:r>
      <w:r>
        <w:t xml:space="preserve"> </w:t>
      </w:r>
      <w:r>
        <w:t xml:space="preserve">explanation on this model.</w:t>
      </w:r>
      <w:r>
        <w:t xml:space="preserve"> </w:t>
      </w:r>
      <w:r>
        <w:rPr>
          <w:b/>
          <w:bCs/>
        </w:rPr>
        <w:t xml:space="preserve">(iii) Routing instruction</w:t>
      </w:r>
      <w:r>
        <w:t xml:space="preserve">: a one-line convention-routing note recovers most of the</w:t>
      </w:r>
      <w:r>
        <w:t xml:space="preserve"> </w:t>
      </w:r>
      <w:r>
        <w:t xml:space="preserve">collapse (</w:t>
      </w:r>
      <m:oMath>
        <m:r>
          <m:t>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82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98</m:t>
        </m:r>
        <m:r>
          <m:rPr>
            <m:sty m:val="p"/>
          </m:rPr>
          <m:t>%</m:t>
        </m:r>
      </m:oMath>
      <w:r>
        <w:t xml:space="preserve">); writing that note requires knowing which source is</w:t>
      </w:r>
      <w:r>
        <w:t xml:space="preserve"> </w:t>
      </w:r>
      <w:r>
        <w:t xml:space="preserve">decisive for which task family, which is exactly the coordinate structure the partial order</w:t>
      </w:r>
      <w:r>
        <w:t xml:space="preserve"> </w:t>
      </w:r>
      <w:r>
        <w:t xml:space="preserve">formalizes, so the cure presupposes the diagnosis.</w:t>
      </w:r>
      <w:r>
        <w:t xml:space="preserve"> </w:t>
      </w:r>
      <w:r>
        <w:rPr>
          <w:b/>
          <w:bCs/>
        </w:rPr>
        <w:t xml:space="preserve">(iv) Structured context</w:t>
      </w:r>
      <w:r>
        <w:t xml:space="preserve">: wrapping the</w:t>
      </w:r>
      <w:r>
        <w:t xml:space="preserve"> </w:t>
      </w:r>
      <w:r>
        <w:t xml:space="preserve">same two conventions in labeled XML sections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any routing statement does not</w:t>
      </w:r>
      <w:r>
        <w:t xml:space="preserve"> </w:t>
      </w:r>
      <w:r>
        <w:t xml:space="preserve">mitigate at all (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on both cells, against</w:t>
      </w:r>
      <w:r>
        <w:t xml:space="preserve"> </w:t>
      </w:r>
      <m:oMath>
        <m:r>
          <m:t>82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with the routing note), so</w:t>
      </w:r>
      <w:r>
        <w:t xml:space="preserve"> </w:t>
      </w:r>
      <w:r>
        <w:t xml:space="preserve">segmentation alone does not cure the interference and the operative variable is routing</w:t>
      </w:r>
      <w:r>
        <w:t xml:space="preserve"> </w:t>
      </w:r>
      <w:r>
        <w:t xml:space="preserve">knowledge. What the four arms show is a two-way contrast rather than a graded hierarchy:</w:t>
      </w:r>
      <w:r>
        <w:t xml:space="preserve"> </w:t>
      </w:r>
      <w:r>
        <w:t xml:space="preserve">segmentation recovers nothing at all, while routing recovers most of the collapse and,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 matches or exceeds what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achieves in this control (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; the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lower bound is</w:t>
      </w:r>
      <w:r>
        <w:t xml:space="preserve"> </w:t>
      </w:r>
      <m:oMath>
        <m:r>
          <m:rPr>
            <m:sty m:val="p"/>
          </m:rPr>
          <m:t>+</m:t>
        </m:r>
        <m:r>
          <m:t>0.0095</m:t>
        </m:r>
      </m:oMath>
      <w:r>
        <w:t xml:space="preserve">, while a two-sided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</w:t>
      </w:r>
      <w:r>
        <w:t xml:space="preserve"> </w:t>
      </w:r>
      <w:r>
        <w:t xml:space="preserve">contains zero). Read as a mechanism this points at convention-to-task</w:t>
      </w:r>
      <w:r>
        <w:t xml:space="preserve"> </w:t>
      </w:r>
      <w:r>
        <w:t xml:space="preserve">routing rather than convention segmentation, but it is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the reading is an</w:t>
      </w:r>
      <w:r>
        <w:t xml:space="preserve"> </w:t>
      </w:r>
      <w:r>
        <w:t xml:space="preserve">interpretation of the contrasts, not a verified claim.</w:t>
      </w:r>
    </w:p>
    <w:bookmarkEnd w:id="93"/>
    <w:bookmarkStart w:id="98" w:name="sec:results-policies"/>
    <w:p>
      <w:pPr>
        <w:pStyle w:val="Heading2"/>
      </w:pPr>
      <w:r>
        <w:t xml:space="preserve">The engineering consequence: four selection policies, one measured table</w:t>
      </w:r>
    </w:p>
    <w:p>
      <w:pPr>
        <w:pStyle w:val="FirstParagraph"/>
      </w:pPr>
      <w:r>
        <w:t xml:space="preserve">Table 5 scores four selection policies per model as mean PASS over the four</w:t>
      </w:r>
      <w:r>
        <w:t xml:space="preserve"> </w:t>
      </w:r>
      <w:r>
        <w:t xml:space="preserve">verified cells of Table A1.</w:t>
      </w:r>
      <w:r>
        <w:t xml:space="preserve"> </w:t>
      </w:r>
      <w:r>
        <w:rPr>
          <w:i/>
          <w:iCs/>
        </w:rPr>
        <w:t xml:space="preserve">Best fixed source</w:t>
      </w:r>
      <w:r>
        <w:t xml:space="preserve"> </w:t>
      </w:r>
      <w:r>
        <w:t xml:space="preserve">grants the entire</w:t>
      </w:r>
      <w:r>
        <w:t xml:space="preserve"> </w:t>
      </w:r>
      <w:r>
        <w:t xml:space="preserve">query-independent-scalar class its best case: any such scalar induces one total order, hence one</w:t>
      </w:r>
      <w:r>
        <w:t xml:space="preserve"> </w:t>
      </w:r>
      <w:r>
        <w:t xml:space="preserve">top-1 reused for every task, and we let it pick the oracle-best source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 model).</w:t>
      </w:r>
      <w:r>
        <w:t xml:space="preserve"> </w:t>
      </w:r>
      <w:r>
        <w:rPr>
          <w:i/>
          <w:iCs/>
        </w:rPr>
        <w:t xml:space="preserve">Topical top-1</w:t>
      </w:r>
      <w:r>
        <w:t xml:space="preserve"> </w:t>
      </w:r>
      <w:r>
        <w:t xml:space="preserve">re-scores per task with topical relevance, choosing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the API cells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encoding, but also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the trap, where every measured topical ranker puts the</w:t>
      </w:r>
      <w:r>
        <w:t xml:space="preserve"> </w:t>
      </w:r>
      <w:r>
        <w:t xml:space="preserve">wrong source first (see Section 7.4.2).</w:t>
      </w:r>
      <w:r>
        <w:t xml:space="preserve"> </w:t>
      </w:r>
      <w:r>
        <w:rPr>
          <w:i/>
          <w:iCs/>
        </w:rPr>
        <w:t xml:space="preserve">Concatenate both</w:t>
      </w:r>
      <w:r>
        <w:t xml:space="preserve"> </w:t>
      </w:r>
      <w:r>
        <w:t xml:space="preserve">refuses to choose and</w:t>
      </w:r>
      <w:r>
        <w:t xml:space="preserve"> </w:t>
      </w:r>
      <w:r>
        <w:t xml:space="preserve">submits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.</w:t>
      </w:r>
      <w:r>
        <w:t xml:space="preserve"> </w:t>
      </w:r>
      <w:r>
        <w:rPr>
          <w:i/>
          <w:iCs/>
        </w:rPr>
        <w:t xml:space="preserve">Oracle over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takes the per-cell maximum over the</w:t>
      </w:r>
      <w:r>
        <w:t xml:space="preserve"> </w:t>
      </w:r>
      <w:r>
        <w:t xml:space="preserve">non-dominated pair. It is scored on the same outcomes it maximizes over, so it is an oracle and</w:t>
      </w:r>
      <w:r>
        <w:t xml:space="preserve"> </w:t>
      </w:r>
      <w:r>
        <w:t xml:space="preserve">not an achieved result: a deployable router would have to be fixed before testing and evaluated</w:t>
      </w:r>
      <w:r>
        <w:t xml:space="preserve"> </w:t>
      </w:r>
      <w:r>
        <w:t xml:space="preserve">on held-out tasks under matched latency and token budgets, which this paper does not do. That</w:t>
      </w:r>
      <w:r>
        <w:t xml:space="preserve"> </w:t>
      </w:r>
      <w:r>
        <w:t xml:space="preserve">column is selection</w:t>
      </w:r>
      <w:r>
        <w:t xml:space="preserve"> </w:t>
      </w:r>
      <w:r>
        <w:rPr>
          <w:i/>
          <w:iCs/>
        </w:rPr>
        <w:t xml:space="preserve">headroom</w:t>
      </w:r>
      <w:r>
        <w:t xml:space="preserve"> </w:t>
      </w:r>
      <w:r>
        <w:t xml:space="preserve">on this battery, not a delivered gain: the oracle’s</w:t>
      </w:r>
      <w:r>
        <w:t xml:space="preserve"> </w:t>
      </w:r>
      <m:oMath>
        <m:r>
          <m:t>93.0</m:t>
        </m:r>
        <m:r>
          <m:rPr>
            <m:sty m:val="p"/>
          </m:rPr>
          <m:t>%</m:t>
        </m:r>
      </m:oMath>
      <w:r>
        <w:t xml:space="preserve"> </w:t>
      </w:r>
      <w:r>
        <w:t xml:space="preserve">mean against</w:t>
      </w:r>
      <w:r>
        <w:t xml:space="preserve"> </w:t>
      </w:r>
      <m:oMath>
        <m:r>
          <m:t>71.5</m:t>
        </m:r>
        <m:r>
          <m:rPr>
            <m:sty m:val="p"/>
          </m:rPr>
          <m:t>%</m:t>
        </m:r>
      </m:oMath>
      <w:r>
        <w:t xml:space="preserve"> </w:t>
      </w:r>
      <w:r>
        <w:t xml:space="preserve">(best fixed source),</w:t>
      </w:r>
      <w:r>
        <w:t xml:space="preserve"> </w:t>
      </w:r>
      <m:oMath>
        <m:r>
          <m:t>68.3</m:t>
        </m:r>
        <m:r>
          <m:rPr>
            <m:sty m:val="p"/>
          </m:rPr>
          <m:t>%</m:t>
        </m:r>
      </m:oMath>
      <w:r>
        <w:t xml:space="preserve"> </w:t>
      </w:r>
      <w:r>
        <w:t xml:space="preserve">(topical top-1) and</w:t>
      </w:r>
      <w:r>
        <w:t xml:space="preserve"> </w:t>
      </w:r>
      <m:oMath>
        <m:r>
          <m:t>47.9</m:t>
        </m:r>
        <m:r>
          <m:rPr>
            <m:sty m:val="p"/>
          </m:rPr>
          <m:t>%</m:t>
        </m:r>
      </m:oMath>
      <w:r>
        <w:t xml:space="preserve"> </w:t>
      </w:r>
      <w:r>
        <w:t xml:space="preserve">(concatenation).</w:t>
      </w:r>
    </w:p>
    <w:bookmarkStart w:id="94" w:name="tab:policies"/>
    <w:p>
      <w:pPr>
        <w:pStyle w:val="TableCaption"/>
      </w:pPr>
      <w:r>
        <w:t xml:space="preserve">Mean PASS (%) over the four verified cells under four selection policies, per model,</w:t>
      </w:r>
      <w:r>
        <w:t xml:space="preserve"> </w:t>
      </w:r>
      <w:r>
        <w:t xml:space="preserve">computed from the per-cell PASS counts behind Table A1 (averaging the rounded</w:t>
      </w:r>
      <w:r>
        <w:t xml:space="preserve"> </w:t>
      </w:r>
      <w:r>
        <w:t xml:space="preserve">percentages instead would shift a column by up to</w:t>
      </w:r>
      <w:r>
        <w:t xml:space="preserve"> </w:t>
      </w:r>
      <m:oMath>
        <m:r>
          <m:t>0.4</m:t>
        </m:r>
      </m:oMath>
      <w:r>
        <w:t xml:space="preserve">). The last column is the per-cell maximum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i/>
          <w:iCs/>
        </w:rPr>
        <w:t xml:space="preserve">read off the test outcomes</w:t>
      </w:r>
      <w:r>
        <w:t xml:space="preserve">: an empirical oracle over the pair, not a</w:t>
      </w:r>
      <w:r>
        <w:t xml:space="preserve"> </w:t>
      </w:r>
      <w:r>
        <w:t xml:space="preserve">router fixed in advance and then evaluated, and not a confidence bound on any policy’s population</w:t>
      </w:r>
      <w:r>
        <w:t xml:space="preserve"> </w:t>
      </w:r>
      <w:r>
        <w:t xml:space="preserve">quality. It is also not a ceiling over all selection policies, since it excludes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as a</w:t>
      </w:r>
      <w:r>
        <w:t xml:space="preserve"> </w:t>
      </w:r>
      <w:r>
        <w:t xml:space="preserve">candidate: admitting it raises the Haiku oracle from</w:t>
      </w:r>
      <w:r>
        <w:t xml:space="preserve"> </w:t>
      </w:r>
      <m:oMath>
        <m:r>
          <m:t>82.5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95.0</m:t>
        </m:r>
      </m:oMath>
      <w:r>
        <w:t xml:space="preserve">, almost all of it from the</w:t>
      </w:r>
      <w:r>
        <w:t xml:space="preserve"> </w:t>
      </w:r>
      <w:r>
        <w:t xml:space="preserve">encoding cell, where the pair’s best is</w:t>
      </w:r>
      <w:r>
        <w:t xml:space="preserve"> </w:t>
      </w:r>
      <m:oMath>
        <m:r>
          <m:t>55</m:t>
        </m:r>
        <m:r>
          <m:rPr>
            <m:sty m:val="p"/>
          </m:rPr>
          <m:t>%</m:t>
        </m:r>
      </m:oMath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reaches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, worth</w:t>
      </w:r>
      <w:r>
        <w:t xml:space="preserve"> </w:t>
      </w:r>
      <m:oMath>
        <m:r>
          <m:t>11.25</m:t>
        </m:r>
      </m:oMath>
      <w:r>
        <w:t xml:space="preserve"> </w:t>
      </w:r>
      <w:r>
        <w:t xml:space="preserve">points of the four-cell mean against</w:t>
      </w:r>
      <w:r>
        <w:t xml:space="preserve"> </w:t>
      </w:r>
      <m:oMath>
        <m:r>
          <m:t>1.25</m:t>
        </m:r>
      </m:oMath>
      <w:r>
        <w:t xml:space="preserve"> </w:t>
      </w:r>
      <w:r>
        <w:t xml:space="preserve">from the trap cell.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n PASS (%) over the four verified cells under four selection policies, per model, computed from the per-cell PASS counts behind Table A1 (averaging the rounded percentages instead would shift a column by up to 0.4). The last column is the per-cell maximum of W_1 and W_2 read off the test outcomes: an empirical oracle over the pair, not a router fixed in advance and then evaluated, and not a confidence bound on any policy’s population quality. It is also not a ceiling over all selection policies, since it excludes W_{1+} as a candidate: admitting it raises the Haiku oracle from 82.5 to 95.0, almost all of it from the encoding cell, where the pair’s best is 55\% while W_{1+} reaches 100\%, worth 11.25 points of the four-cell mean against 1.25 from the trap ce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fixed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Topical top-1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Concatenate (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 over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GPT-5.5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DeepSeek-V4-Pro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Kimi-K2.6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93.0</w:t>
            </w:r>
          </w:p>
        </w:tc>
      </w:tr>
    </w:tbl>
    <w:bookmarkEnd w:id="94"/>
    <w:p>
      <w:pPr>
        <w:pStyle w:val="BodyText"/>
      </w:pPr>
      <w:bookmarkStart w:id="95" w:name="tab:policies"/>
      <w:bookmarkEnd w:id="95"/>
    </w:p>
    <w:bookmarkStart w:id="96" w:name="fig:polici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Mean PASS over the four verified cells under the four selection policies of</w:t>
      </w:r>
      <w:r>
        <w:t xml:space="preserve"> </w:t>
      </w:r>
      <w:r>
        <w:t xml:space="preserve">Table 5, per model. Two things are visible that the table states in prose. The two</w:t>
      </w:r>
      <w:r>
        <w:t xml:space="preserve"> </w:t>
      </w:r>
      <w:r>
        <w:t xml:space="preserve">scalar policies land within about a point of each other on most models while failing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so the ceiling is the policy class rather than the choice of scorer. And</w:t>
      </w:r>
      <w:r>
        <w:t xml:space="preserve"> </w:t>
      </w:r>
      <w:r>
        <w:t xml:space="preserve">concatenating both sources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 on every model, below even a fixed</w:t>
      </w:r>
      <w:r>
        <w:t xml:space="preserve"> </w:t>
      </w:r>
      <w:r>
        <w:t xml:space="preserve">single source: refusing to choose costs more than choosing wrongly. The last column reads the</w:t>
      </w:r>
      <w:r>
        <w:t xml:space="preserve"> </w:t>
      </w:r>
      <w:r>
        <w:t xml:space="preserve">per-cell maximum off the test outcomes and is an oracle over the pair, not a router fixed in</w:t>
      </w:r>
      <w:r>
        <w:t xml:space="preserve"> </w:t>
      </w:r>
      <w:r>
        <w:t xml:space="preserve">advance and then evaluated.</w:t>
      </w:r>
    </w:p>
    <w:bookmarkEnd w:id="96"/>
    <w:p>
      <w:pPr>
        <w:pStyle w:val="BodyText"/>
      </w:pPr>
      <w:r>
        <w:t xml:space="preserve">Three structural facts, not the magnitudes, are the point. First, the two scalar policies fail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cells, the fixed source can never carry encoding, topical top-1 forfeits the trap,</w:t>
      </w:r>
      <w:r>
        <w:t xml:space="preserve"> </w:t>
      </w:r>
      <w:r>
        <w:t xml:space="preserve">yet differ by only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points on average, and not at all on three of the six models: the cap</w:t>
      </w:r>
      <w:r>
        <w:t xml:space="preserve"> </w:t>
      </w:r>
      <w:r>
        <w:t xml:space="preserve">is the policy</w:t>
      </w:r>
      <w:r>
        <w:t xml:space="preserve"> </w:t>
      </w:r>
      <w:r>
        <w:rPr>
          <w:i/>
          <w:iCs/>
        </w:rPr>
        <w:t xml:space="preserve">class</w:t>
      </w:r>
      <w:r>
        <w:t xml:space="preserve">, since</w:t>
      </w:r>
      <w:r>
        <w:t xml:space="preserve"> </w:t>
      </w:r>
      <w:r>
        <w:t xml:space="preserve">any total order must abandon at least one cell, not the choice of scorer</w:t>
      </w:r>
      <w:r>
        <w:t xml:space="preserve"> </w:t>
      </w:r>
      <w:r>
        <w:t xml:space="preserve">(Theorem 2, Proposition 2). Second, the policy that</w:t>
      </w:r>
      <w:r>
        <w:t xml:space="preserve"> </w:t>
      </w:r>
      <w:r>
        <w:t xml:space="preserve">refuses to choose is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of the four: anti-monotonicity is the dominant cost</w:t>
      </w:r>
      <w:r>
        <w:t xml:space="preserve"> </w:t>
      </w:r>
      <w:r>
        <w:t xml:space="preserve">(see Section 7.4.3). Third, the oracle shortfall from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is neither pure selection</w:t>
      </w:r>
      <w:r>
        <w:t xml:space="preserve"> </w:t>
      </w:r>
      <w:r>
        <w:t xml:space="preserve">error nor pure capability. For DeepSeek (</w:t>
      </w:r>
      <m:oMath>
        <m:r>
          <m:t>68</m:t>
        </m:r>
      </m:oMath>
      <w:r>
        <w:t xml:space="preserve">–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band) it is residual failure under the</w:t>
      </w:r>
      <w:r>
        <w:t xml:space="preserve"> </w:t>
      </w:r>
      <w:r>
        <w:t xml:space="preserve">prompts and decoder we tested, which is not a bound on what the model can do. For Haiku the</w:t>
      </w:r>
      <w:r>
        <w:t xml:space="preserve"> </w:t>
      </w:r>
      <w:r>
        <w:t xml:space="preserve">largest remaining shortfall is on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(</w:t>
      </w:r>
      <m:oMath>
        <m:r>
          <m:t>22</m:t>
        </m:r>
        <m:r>
          <m:rPr>
            <m:sty m:val="p"/>
          </m:rPr>
          <m:t>/</m:t>
        </m:r>
        <m:r>
          <m:t>40</m:t>
        </m:r>
      </m:oMath>
      <w:r>
        <w:t xml:space="preserve">), and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32</m:t>
        </m:r>
        <m:r>
          <m:rPr>
            <m:sty m:val="p"/>
          </m:rPr>
          <m:t>/</m:t>
        </m:r>
        <m:r>
          <m:t>40</m:t>
        </m:r>
      </m:oMath>
      <w:r>
        <w:t xml:space="preserve">) the retained completions (see Section 7.4.5) show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the task needs missing from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of that arm’s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replies, a</w:t>
      </w:r>
      <w:r>
        <w:t xml:space="preserve"> </w:t>
      </w:r>
      <w:r>
        <w:t xml:space="preserve">packaging effect rather than a selection error. The four cells were built to exhibit the phenomenon, so</w:t>
      </w:r>
      <w:r>
        <w:t xml:space="preserve"> </w:t>
      </w:r>
      <w:r>
        <w:t xml:space="preserve">these magnitudes diagnose the failure structure rather than estimate production-traffic gains.</w:t>
      </w:r>
    </w:p>
    <w:bookmarkStart w:id="97" w:name="what-follows-for-practice."/>
    <w:p>
      <w:pPr>
        <w:pStyle w:val="Heading4"/>
      </w:pPr>
      <w:r>
        <w:t xml:space="preserve">What follows for practice.</w:t>
      </w:r>
    </w:p>
    <w:p>
      <w:pPr>
        <w:pStyle w:val="FirstParagraph"/>
      </w:pPr>
      <w:r>
        <w:t xml:space="preserve">Four statements survive the caveats above.</w:t>
      </w:r>
      <w:r>
        <w:t xml:space="preserve"> </w:t>
      </w:r>
      <w:r>
        <w:t xml:space="preserve">(i) One number per source is structurally lossy: when two sources each carry a decisive fact, any</w:t>
      </w:r>
      <w:r>
        <w:t xml:space="preserve"> </w:t>
      </w:r>
      <w:r>
        <w:t xml:space="preserve">single task-independent ranking drops one of them (Theorem 2). Keep both and</w:t>
      </w:r>
      <w:r>
        <w:t xml:space="preserve"> </w:t>
      </w:r>
      <w:r>
        <w:t xml:space="preserve">route by task instead; the per-cell maximum in Table 5 is headroom read off</w:t>
      </w:r>
      <w:r>
        <w:t xml:space="preserve"> </w:t>
      </w:r>
      <w:r>
        <w:t xml:space="preserve">the test outcomes, and no implementable router here captures it, on these tasks or new</w:t>
      </w:r>
      <w:r>
        <w:t xml:space="preserve"> </w:t>
      </w:r>
      <w:r>
        <w:t xml:space="preserve">ones. Concatenating them is not forbidden</w:t>
      </w:r>
      <w:r>
        <w:t xml:space="preserve"> </w:t>
      </w:r>
      <w:r>
        <w:t xml:space="preserve">by the theorem, but on this pair it is the worst of the four policies measured</w:t>
      </w:r>
      <w:r>
        <w:t xml:space="preserve"> </w:t>
      </w:r>
      <w:r>
        <w:t xml:space="preserve">(Table 5).</w:t>
      </w:r>
      <w:r>
        <w:t xml:space="preserve"> </w:t>
      </w:r>
      <w:r>
        <w:t xml:space="preserve">(ii) Do not cache a source’s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across task families; cache retrieval representations</w:t>
      </w:r>
      <w:r>
        <w:t xml:space="preserve"> </w:t>
      </w:r>
      <w:r>
        <w:t xml:space="preserve">instead, because the value is model- and task-relative (see Section 7.4.4).</w:t>
      </w:r>
      <w:r>
        <w:t xml:space="preserve"> </w:t>
      </w:r>
      <w:r>
        <w:t xml:space="preserve">(iii) Adding correct, on-topic text to a working prompt can break it, by as much 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%</m:t>
        </m:r>
      </m:oMath>
      <w:r>
        <w:t xml:space="preserve">, so a regression after enlarging the context is a candidate anti-monotonicity</w:t>
      </w:r>
      <w:r>
        <w:t xml:space="preserve"> </w:t>
      </w:r>
      <w:r>
        <w:t xml:space="preserve">collapse before it is a model failure (see Section 7.4.3).</w:t>
      </w:r>
      <w:r>
        <w:t xml:space="preserve"> </w:t>
      </w:r>
      <w:r>
        <w:t xml:space="preserve">(iv) A cheap topical ranker fails exactly where the surface lexicon points at the wrong source,</w:t>
      </w:r>
      <w:r>
        <w:t xml:space="preserve"> </w:t>
      </w:r>
      <w:r>
        <w:t xml:space="preserve">which is where a listwise reader earns its cost (Proposition 2).</w:t>
      </w:r>
      <w:r>
        <w:t xml:space="preserve"> </w:t>
      </w:r>
      <w:r>
        <w:t xml:space="preserve">Each is measurable on any stack with the released harness.</w:t>
      </w:r>
    </w:p>
    <w:bookmarkEnd w:id="97"/>
    <w:bookmarkEnd w:id="98"/>
    <w:bookmarkEnd w:id="99"/>
    <w:bookmarkStart w:id="114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results recast a piece of practitioner folklore,</w:t>
      </w:r>
      <w:r>
        <w:t xml:space="preserve"> </w:t>
      </w:r>
      <w:r>
        <w:t xml:space="preserve">“relevance does not transfer across tasks”</w:t>
      </w:r>
      <w:r>
        <w:t xml:space="preserve">,</w:t>
      </w:r>
      <w:r>
        <w:t xml:space="preserve"> </w:t>
      </w:r>
      <w:r>
        <w:t xml:space="preserve">as a structural fact: when two sources are Blackwell-incomparable the order over them is partial,</w:t>
      </w:r>
      <w:r>
        <w:t xml:space="preserve"> </w:t>
      </w:r>
      <w:r>
        <w:t xml:space="preserve">and any per-source scalar score, by imposing one task-independent preorder, must fail to rank them</w:t>
      </w:r>
      <w:r>
        <w:t xml:space="preserve"> </w:t>
      </w:r>
      <w:r>
        <w:t xml:space="preserve">faithfully on some task. What follows</w:t>
      </w:r>
      <w:r>
        <w:t xml:space="preserve"> </w:t>
      </w:r>
      <w:r>
        <w:t xml:space="preserve">concerns what that evidence does and does not license, and where the formalization is a model of</w:t>
      </w:r>
      <w:r>
        <w:t xml:space="preserve"> </w:t>
      </w:r>
      <w:r>
        <w:t xml:space="preserve">the realized object rather than a proof about it.</w:t>
      </w:r>
    </w:p>
    <w:bookmarkStart w:id="102" w:name="sec:disc-bridge"/>
    <w:p>
      <w:pPr>
        <w:pStyle w:val="Heading2"/>
      </w:pPr>
      <w:r>
        <w:t xml:space="preserve">Scope of the claims</w:t>
      </w:r>
    </w:p>
    <w:p>
      <w:pPr>
        <w:pStyle w:val="FirstParagraph"/>
      </w:pPr>
      <w:bookmarkStart w:id="100" w:name="sec:disc-deficiency"/>
      <w:bookmarkEnd w:id="100"/>
      <w:bookmarkStart w:id="101" w:name="sec:disc-certificate"/>
      <w:bookmarkEnd w:id="101"/>
    </w:p>
    <w:p>
      <w:pPr>
        <w:pStyle w:val="BodyText"/>
      </w:pPr>
      <w:r>
        <w:t xml:space="preserve">Three limits of scope govern everything above.</w:t>
      </w:r>
      <w:r>
        <w:t xml:space="preserve"> </w:t>
      </w:r>
      <w:r>
        <w:rPr>
          <w:b/>
          <w:bCs/>
        </w:rPr>
        <w:t xml:space="preserve">(i) Two registers.</w:t>
      </w:r>
      <w:r>
        <w:t xml:space="preserve"> </w:t>
      </w:r>
      <w:r>
        <w:t xml:space="preserve">The theorems are about</w:t>
      </w:r>
      <w:r>
        <w:t xml:space="preserve"> </w:t>
      </w:r>
      <w:r>
        <w:t xml:space="preserve">the ideal user of a source; every number we measure is the pass rate of one fixed, non-optimal</w:t>
      </w:r>
      <w:r>
        <w:t xml:space="preserve"> </w:t>
      </w:r>
      <w:r>
        <w:t xml:space="preserve">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. The two registers are established separately, not one from the other. Structural</w:t>
      </w:r>
      <w:r>
        <w:t xml:space="preserve"> </w:t>
      </w:r>
      <w:r>
        <w:t xml:space="preserve">incomparability follows from the projection construction and Lemma 1, with no prior,</w:t>
      </w:r>
      <w:r>
        <w:t xml:space="preserve"> </w:t>
      </w:r>
      <w:r>
        <w:t xml:space="preserve">no caps and no measurement. The experiments separately verify realized cross-advantage for the</w:t>
      </w:r>
      <w:r>
        <w:t xml:space="preserve"> </w:t>
      </w:r>
      <w:r>
        <w:t xml:space="preserve">fixed model on the named task pairs (Assumption 1), which 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-incomparability and nothing more. Lemma 2 is a conditional</w:t>
      </w:r>
      <w:r>
        <w:t xml:space="preserve"> </w:t>
      </w:r>
      <w:r>
        <w:t xml:space="preserve">Bayes-value criterion whose guessing-cap hypotheses these state-conditional measurements do not</w:t>
      </w:r>
      <w:r>
        <w:t xml:space="preserve"> </w:t>
      </w:r>
      <w:r>
        <w:t xml:space="preserve">estimate. So the measured crossover does not</w:t>
      </w:r>
      <w:r>
        <w:t xml:space="preserve"> </w:t>
      </w:r>
      <w:r>
        <w:rPr>
          <w:i/>
          <w:iCs/>
        </w:rPr>
        <w:t xml:space="preserve">earn</w:t>
      </w:r>
      <w:r>
        <w:t xml:space="preserve"> </w:t>
      </w:r>
      <w:r>
        <w:t xml:space="preserve">the structural conclusion, and need</w:t>
      </w:r>
      <w:r>
        <w:t xml:space="preserve"> </w:t>
      </w:r>
      <w:r>
        <w:t xml:space="preserve">not: for these sources Lemma 1 already supplies it by construction.</w:t>
      </w:r>
      <w:r>
        <w:t xml:space="preserve"> </w:t>
      </w:r>
      <w:r>
        <w:rPr>
          <w:b/>
          <w:bCs/>
        </w:rPr>
        <w:t xml:space="preserve">(ii) The estimator’s name.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does no minimization</w:t>
      </w:r>
      <w:r>
        <w:t xml:space="preserve"> </w:t>
      </w:r>
      <w:r>
        <w:t xml:space="preserve">over garblings and ranges over a fixed set of tasks; it is a one-sided</w:t>
      </w:r>
      <w:r>
        <w:t xml:space="preserve"> </w:t>
      </w:r>
      <w:r>
        <w:rPr>
          <w:i/>
          <w:iCs/>
        </w:rPr>
        <w:t xml:space="preserve">value-deficiency</w:t>
      </w:r>
      <w:r>
        <w:rPr>
          <w:i/>
          <w:iCs/>
        </w:rPr>
        <w:t xml:space="preserve"> </w:t>
      </w:r>
      <w:r>
        <w:rPr>
          <w:i/>
          <w:iCs/>
        </w:rPr>
        <w:t xml:space="preserve">surrogate</w:t>
      </w:r>
      <w:r>
        <w:t xml:space="preserve">, not a Le Cam deficiency, and the two are not interchangeable for a fixed rule</w:t>
      </w:r>
      <w:r>
        <w:t xml:space="preserve"> </w:t>
      </w:r>
      <w:r>
        <w:t xml:space="preserve">(Remark 8). What is rigorous is the verification, which we regard as the most</w:t>
      </w:r>
      <w:r>
        <w:t xml:space="preserve"> </w:t>
      </w:r>
      <w:r>
        <w:t xml:space="preserve">robust part and which stands whether or not the deficiency analogy holds.</w:t>
      </w:r>
      <w:r>
        <w:t xml:space="preserve"> </w:t>
      </w:r>
      <w:r>
        <w:rPr>
          <w:b/>
          <w:bCs/>
        </w:rPr>
        <w:t xml:space="preserve">(iii)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covers.</w:t>
      </w:r>
      <w:r>
        <w:t xml:space="preserve"> </w:t>
      </w:r>
      <w:r>
        <w:t xml:space="preserve">It is correct because it pays for picking the worst task with exact intervals</w:t>
      </w:r>
      <w:r>
        <w:t xml:space="preserve"> </w:t>
      </w:r>
      <w:r>
        <w:t xml:space="preserve">and a union bound; its support is small (two of the four cells carry each model’s result, and</w:t>
      </w:r>
      <w:r>
        <w:t xml:space="preserve"> </w:t>
      </w:r>
      <w:r>
        <w:t xml:space="preserve">which two is model-specific: an API cell and the encoding cell on five models, the trap cell</w:t>
      </w:r>
      <w:r>
        <w:t xml:space="preserve"> </w:t>
      </w:r>
      <w:r>
        <w:t xml:space="preserve">rather than an API cell on DeepSeek-V4-Pro), each family is controlled simultaneously at level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over the intervals it names, while the conjunction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families carries no single</w:t>
      </w:r>
      <w:r>
        <w:t xml:space="preserve"> </w:t>
      </w:r>
      <w:r>
        <w:t xml:space="preserve">joint guarantee (see Section 6.5), and we call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a fixed adversarial battery,</w:t>
      </w:r>
      <w:r>
        <w:t xml:space="preserve"> </w:t>
      </w:r>
      <w:r>
        <w:t xml:space="preserve">not a task distribution.</w:t>
      </w:r>
    </w:p>
    <w:bookmarkEnd w:id="102"/>
    <w:bookmarkStart w:id="103" w:name="sec:disc-antimono"/>
    <w:p>
      <w:pPr>
        <w:pStyle w:val="Heading2"/>
      </w:pPr>
      <w:r>
        <w:t xml:space="preserve">Anti-monotonicity is real, verified, but not capability-ordered</w:t>
      </w:r>
    </w:p>
    <w:p>
      <w:pPr>
        <w:pStyle w:val="FirstParagraph"/>
      </w:pPr>
      <w:r>
        <w:t xml:space="preserve">The harm object is the direct contrast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which measures</w:t>
      </w:r>
      <w:r>
        <w:t xml:space="preserve"> </w:t>
      </w:r>
      <w:r>
        <w:t xml:space="preserve">whether appending the (irrelevant-to-this-task)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a sufficient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degrades performance</w:t>
      </w:r>
      <w:r>
        <w:t xml:space="preserve"> </w:t>
      </w:r>
      <w:r>
        <w:t xml:space="preserve">(the second difference</w:t>
      </w:r>
      <w:r>
        <w:t xml:space="preserve"> </w:t>
      </w:r>
      <m:oMath>
        <m:sSub>
          <m:e>
            <m:r>
              <m:rPr>
                <m:sty m:val="p"/>
              </m:rP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an interaction term, not a harm measure;</w:t>
      </w:r>
      <w:r>
        <w:t xml:space="preserve"> </w:t>
      </w:r>
      <w:r>
        <w:t xml:space="preserve">Remark 9). We verify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on at least one cell for all six</w:t>
      </w:r>
      <w:r>
        <w:t xml:space="preserve"> </w:t>
      </w:r>
      <w:r>
        <w:t xml:space="preserve">models (Table 4); nine of the twelve cells are a stark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(upper bound</w:t>
      </w:r>
      <w:r>
        <w:t xml:space="preserve"> </w:t>
      </w:r>
      <m:oMath>
        <m:r>
          <m:rPr>
            <m:sty m:val="p"/>
          </m:rPr>
          <m:t>−</m:t>
        </m:r>
        <m:r>
          <m:t>0.85</m:t>
        </m:r>
      </m:oMath>
      <w:r>
        <w:t xml:space="preserve">), on both API cells of Sonnet, Opus, GPT-5.5 and Kimi and on Haiku’s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. This is a verified empirical falsification of</w:t>
      </w:r>
      <w:r>
        <w:t xml:space="preserve"> </w:t>
      </w:r>
      <w:r>
        <w:t xml:space="preserve">superset-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for these fixed rules (Theorem 3): a literal</w:t>
      </w:r>
      <w:r>
        <w:t xml:space="preserve"> </w:t>
      </w:r>
      <w:r>
        <w:t xml:space="preserve">superset of a sufficient signal can</w:t>
      </w:r>
      <w:r>
        <w:t xml:space="preserve"> </w:t>
      </w:r>
      <w:r>
        <w:t xml:space="preserve">sharply reduce PASS, which no monotone scalar context-value score can represent.</w:t>
      </w:r>
    </w:p>
    <w:p>
      <w:pPr>
        <w:pStyle w:val="BodyText"/>
      </w:pPr>
      <w:r>
        <w:t xml:space="preserve">Three cautions attach to it. The harm is robust across the capability ladder but not ordered by it</w:t>
      </w:r>
      <w:r>
        <w:t xml:space="preserve"> </w:t>
      </w:r>
      <w:r>
        <w:t xml:space="preserve">(see Section 7.4.3), so we claim no capability trend. Which cell carries the</w:t>
      </w:r>
      <w:r>
        <w:t xml:space="preserve"> </w:t>
      </w:r>
      <w:r>
        <w:t xml:space="preserve">verification is still a choice: we fix it per model before unblinding rather than picking the</w:t>
      </w:r>
      <w:r>
        <w:t xml:space="preserve"> </w:t>
      </w:r>
      <w:r>
        <w:t xml:space="preserve">starkest afterwards, and cells differ in their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ceiling, so magnitudes are not comparable</w:t>
      </w:r>
      <w:r>
        <w:t xml:space="preserve"> </w:t>
      </w:r>
      <w:r>
        <w:t xml:space="preserve">across models even though each binary verdict stands on its own. And the two Opus rows join arms</w:t>
      </w:r>
      <w:r>
        <w:t xml:space="preserve"> </w:t>
      </w:r>
      <w:r>
        <w:t xml:space="preserve">from different collection windows (see Section 7.3); the harm contrasts do not,</w:t>
      </w:r>
      <w:r>
        <w:t xml:space="preserve"> </w:t>
      </w:r>
      <w:r>
        <w:t xml:space="preserve">since each is read within a single run.</w:t>
      </w:r>
    </w:p>
    <w:bookmarkEnd w:id="103"/>
    <w:bookmarkStart w:id="104" w:name="sec:disc-mechanism"/>
    <w:p>
      <w:pPr>
        <w:pStyle w:val="Heading2"/>
      </w:pPr>
      <w:r>
        <w:t xml:space="preserve">Mechanism: a correlate, not an explanation</w:t>
      </w:r>
    </w:p>
    <w:p>
      <w:pPr>
        <w:pStyle w:val="FirstParagraph"/>
      </w:pPr>
      <w:r>
        <w:t xml:space="preserve">On both collapse cells of all six models the harmful arm inflates output, between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321</m:t>
        </m:r>
        <m:r>
          <m:rPr>
            <m:sty m:val="p"/>
          </m:rPr>
          <m:t>%</m:t>
        </m:r>
      </m:oMath>
      <w:r>
        <w:t xml:space="preserve"> </w:t>
      </w:r>
      <w:r>
        <w:t xml:space="preserve">(see Appendix C). On the still-passing encoding cell the same</w:t>
      </w:r>
      <w:r>
        <w:t xml:space="preserve"> </w:t>
      </w:r>
      <w:r>
        <w:t xml:space="preserve">superset arm 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41</m:t>
        </m:r>
        <m:r>
          <m:rPr>
            <m:sty m:val="p"/>
          </m:rPr>
          <m:t>%</m:t>
        </m:r>
      </m:oMath>
      <w:r>
        <w:t xml:space="preserve"> </w:t>
      </w:r>
      <w:r>
        <w:t xml:space="preserve">with no consistent direction, so the association does</w:t>
      </w:r>
      <w:r>
        <w:t xml:space="preserve"> </w:t>
      </w:r>
      <w:r>
        <w:t xml:space="preserve">not establish an internal cause and we treat it as a reproducible correlate of the harmful arm</w:t>
      </w:r>
      <w:r>
        <w:t xml:space="preserve"> </w:t>
      </w:r>
      <w:r>
        <w:t xml:space="preserve">rather than a</w:t>
      </w:r>
      <w:r>
        <w:t xml:space="preserve"> </w:t>
      </w:r>
      <w:r>
        <w:t xml:space="preserve">mechanism. Per-model figures are in Appendix C.</w:t>
      </w:r>
    </w:p>
    <w:bookmarkEnd w:id="104"/>
    <w:bookmarkStart w:id="113" w:name="sec:limitations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t xml:space="preserve">We collect the scope restrictions here; each is stated once and sized to its weight.</w:t>
      </w:r>
    </w:p>
    <w:bookmarkStart w:id="105" w:name="from-diagnosis-to-selection."/>
    <w:p>
      <w:pPr>
        <w:pStyle w:val="Heading4"/>
      </w:pPr>
      <w:r>
        <w:t xml:space="preserve">From diagnosis to selection.</w:t>
      </w:r>
    </w:p>
    <w:p>
      <w:pPr>
        <w:pStyle w:val="FirstParagraph"/>
      </w:pPr>
      <w:r>
        <w:t xml:space="preserve">The constructive selection rule the partial order</w:t>
      </w:r>
      <w:r>
        <w:t xml:space="preserve"> </w:t>
      </w:r>
      <w:r>
        <w:t xml:space="preserve">implies, keep the verified non-dominated set and cover what it leaves uncovered, is left for</w:t>
      </w:r>
      <w:r>
        <w:t xml:space="preserve"> </w:t>
      </w:r>
      <w:r>
        <w:t xml:space="preserve">future work; here we note only its cost. Building the verified order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candidates costs</w:t>
      </w:r>
      <w:r>
        <w:t xml:space="preserve"> </w:t>
      </w:r>
      <m:oMath>
        <m:r>
          <m:t>m</m:t>
        </m:r>
        <m:r>
          <m:t>​</m:t>
        </m:r>
        <m:r>
          <m:rPr>
            <m:sty m:val="p"/>
          </m:rPr>
          <m:t>⋅</m:t>
        </m:r>
        <m:r>
          <m:t>​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n</m:t>
        </m:r>
      </m:oMath>
      <w:r>
        <w:t xml:space="preserve"> </w:t>
      </w:r>
      <w:r>
        <w:t xml:space="preserve">verifier-gated calls, curation scale, not corpus scale; scaling</w:t>
      </w:r>
      <w:r>
        <w:t xml:space="preserve"> </w:t>
      </w:r>
      <w:r>
        <w:t xml:space="preserve">verified selection to retrieval over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passages, by amortizing the probe into a learned</w:t>
      </w:r>
      <w:r>
        <w:t xml:space="preserve"> </w:t>
      </w:r>
      <w:r>
        <w:t xml:space="preserve">deficiency predictor or running the partial-order step as a re-ranking head over a scalar</w:t>
      </w:r>
      <w:r>
        <w:t xml:space="preserve"> </w:t>
      </w:r>
      <w:r>
        <w:t xml:space="preserve">shortlist, is the central open problem this work opens. Keeping a non-dominated set instead of a</w:t>
      </w:r>
      <w:r>
        <w:t xml:space="preserve"> </w:t>
      </w:r>
      <w:r>
        <w:t xml:space="preserve">top-</w:t>
      </w:r>
      <m:oMath>
        <m:r>
          <m:t>k</m:t>
        </m:r>
      </m:oMath>
      <w:r>
        <w:t xml:space="preserve"> </w:t>
      </w:r>
      <w:r>
        <w:t xml:space="preserve">prefix already exists as an operator, the skyline retrieval step of</w:t>
      </w:r>
      <w:r>
        <w:t xml:space="preserve"> </w:t>
      </w:r>
      <w:r>
        <w:t xml:space="preserve">Zhu et al. (2026)</w:t>
      </w:r>
      <w:r>
        <w:t xml:space="preserve">, and learned</w:t>
      </w:r>
      <w:r>
        <w:t xml:space="preserve"> </w:t>
      </w:r>
      <w:r>
        <w:t xml:space="preserve">set selectors optimize evidence sets end to end </w:t>
      </w:r>
      <w:r>
        <w:t xml:space="preserve">(Jiang et al. 2026; Fan et al. 2026)</w:t>
      </w:r>
      <w:r>
        <w:t xml:space="preserve">; what the partial</w:t>
      </w:r>
      <w:r>
        <w:t xml:space="preserve"> </w:t>
      </w:r>
      <w:r>
        <w:t xml:space="preserve">order adds is the object the set is taken over, verified task value rather than heuristic per-item</w:t>
      </w:r>
      <w:r>
        <w:t xml:space="preserve"> </w:t>
      </w:r>
      <w:r>
        <w:t xml:space="preserve">scores. We do not claim that retaining the non-dominated set makes downstream selection</w:t>
      </w:r>
      <w:r>
        <w:t xml:space="preserve"> </w:t>
      </w:r>
      <w:r>
        <w:rPr>
          <w:i/>
          <w:iCs/>
        </w:rPr>
        <w:t xml:space="preserve">safe</w:t>
      </w:r>
      <w:r>
        <w:t xml:space="preserve"> </w:t>
      </w:r>
      <w:r>
        <w:t xml:space="preserve">under anti-monotonicity, and nothing here proves it: the verification bounds the</w:t>
      </w:r>
      <w:r>
        <w:t xml:space="preserve"> </w:t>
      </w:r>
      <w:r>
        <w:t xml:space="preserve">relation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candidates, not what a selector then does with them, and</w:t>
      </w:r>
      <w:r>
        <w:t xml:space="preserve"> </w:t>
      </w:r>
      <w:r>
        <w:t xml:space="preserve">concatenating two retained members is the move our own record shows can lower PASS</w:t>
      </w:r>
      <w:r>
        <w:t xml:space="preserve"> </w:t>
      </w:r>
      <w:r>
        <w:t xml:space="preserve">(see Section 7.4.3). What the partial order contributes at this level is</w:t>
      </w:r>
      <w:r>
        <w:t xml:space="preserve"> </w:t>
      </w:r>
      <w:r>
        <w:t xml:space="preserve">diagnostic.</w:t>
      </w:r>
    </w:p>
    <w:bookmarkEnd w:id="105"/>
    <w:bookmarkStart w:id="106" w:name="source-pair-generality."/>
    <w:p>
      <w:pPr>
        <w:pStyle w:val="Heading4"/>
      </w:pPr>
      <w:r>
        <w:t xml:space="preserve">Source-pair generality.</w:t>
      </w:r>
    </w:p>
    <w:p>
      <w:pPr>
        <w:pStyle w:val="FirstParagraph"/>
      </w:pPr>
      <w:r>
        <w:t xml:space="preserve">Incomparability and dominance hold for two hand-built pairs</w:t>
      </w:r>
      <w:r>
        <w:t xml:space="preserve"> </w:t>
      </w:r>
      <w:r>
        <w:t xml:space="preserve">in two domains, both measured over the same transport as the six-model record. On the second</w:t>
      </w:r>
      <w:r>
        <w:t xml:space="preserve"> </w:t>
      </w:r>
      <w:r>
        <w:t xml:space="preserve">pair the verification returns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, so the crossover is present in a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 as well as a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one, and the superset carries a verified</w:t>
      </w:r>
      <w:r>
        <w:t xml:space="preserve"> </w:t>
      </w:r>
      <w:r>
        <w:t xml:space="preserve">collapse there too: it takes the contract cell from</w:t>
      </w:r>
      <w:r>
        <w:t xml:space="preserve"> </w:t>
      </w:r>
      <m:oMath>
        <m:r>
          <m:t>35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0.62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budget spread over the pair’s three contrasts. The other two cells do not collapse; the trap</w:t>
      </w:r>
      <w:r>
        <w:t xml:space="preserve"> </w:t>
      </w:r>
      <w:r>
        <w:t xml:space="preserve">cell moves only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, nowhere near the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margin. An earlier command-line</w:t>
      </w:r>
      <w:r>
        <w:t xml:space="preserve"> </w:t>
      </w:r>
      <w:r>
        <w:t xml:space="preserve">measurement of this pair behaved differently enough that we reported it as regime-dependent; that</w:t>
      </w:r>
      <w:r>
        <w:t xml:space="preserve"> </w:t>
      </w:r>
      <w:r>
        <w:t xml:space="preserve">caveat concerned a transport the record no longer uses. Two gaps remain. The cross-vendor record</w:t>
      </w:r>
      <w:r>
        <w:t xml:space="preserve"> </w:t>
      </w:r>
      <w:r>
        <w:t xml:space="preserve">is still single-pair: five of the six models were never run on it. And the pair did not reproduce</w:t>
      </w:r>
      <w:r>
        <w:t xml:space="preserve"> </w:t>
      </w:r>
      <w:r>
        <w:t xml:space="preserve">the relevance-trap effect at all, its prompt not being lexically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-leaning, so the strong</w:t>
      </w:r>
      <w:r>
        <w:t xml:space="preserve"> </w:t>
      </w:r>
      <w:r>
        <w:t xml:space="preserve">mis-rank is still a one-pair result. A third</w:t>
      </w:r>
      <w:r>
        <w:t xml:space="preserve"> </w:t>
      </w:r>
      <w:r>
        <w:t xml:space="preserve">domain and a vendor-general strong mis-rank remain open next steps.</w:t>
      </w:r>
    </w:p>
    <w:bookmarkEnd w:id="106"/>
    <w:bookmarkStart w:id="107" w:name="Xd344a6caba248cd0f3c9915a6f9f7c4f85f22da"/>
    <w:p>
      <w:pPr>
        <w:pStyle w:val="Heading4"/>
      </w:pPr>
      <w:r>
        <w:t xml:space="preserve">Cross-vendor magnitudes are still only suggestive.</w:t>
      </w:r>
    </w:p>
    <w:p>
      <w:pPr>
        <w:pStyle w:val="FirstParagraph"/>
      </w:pPr>
      <w:r>
        <w:t xml:space="preserve">All six models are now run the same</w:t>
      </w:r>
      <w:r>
        <w:t xml:space="preserve"> </w:t>
      </w:r>
      <w:r>
        <w:t xml:space="preserve">way, one HTTP request per draw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(see Section 7.3), so neither the turn</w:t>
      </w:r>
      <w:r>
        <w:t xml:space="preserve"> </w:t>
      </w:r>
      <w:r>
        <w:t xml:space="preserve">budget nor the transport confounds the comparison. What remains is the</w:t>
      </w:r>
      <w:r>
        <w:t xml:space="preserve"> </w:t>
      </w:r>
      <w:r>
        <w:t xml:space="preserve">ordinary caution that different vendors’ models differ in ways we do not control (training data,</w:t>
      </w:r>
      <w:r>
        <w:t xml:space="preserve"> </w:t>
      </w:r>
      <w:r>
        <w:t xml:space="preserve">size, tokenizer), so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comparisons (the value spectrum, the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ladder)</w:t>
      </w:r>
      <w:r>
        <w:t xml:space="preserve"> </w:t>
      </w:r>
      <w:r>
        <w:t xml:space="preserve">should be read as suggestive; the binary within-model claims do not depend on any cross-vendor</w:t>
      </w:r>
      <w:r>
        <w:t xml:space="preserve"> </w:t>
      </w:r>
      <w:r>
        <w:t xml:space="preserve">comparison.</w:t>
      </w:r>
    </w:p>
    <w:bookmarkEnd w:id="107"/>
    <w:bookmarkStart w:id="108" w:name="the-construction-is-an-idealization."/>
    <w:p>
      <w:pPr>
        <w:pStyle w:val="Heading4"/>
      </w:pPr>
      <w:r>
        <w:t xml:space="preserve">The construction is an idealization.</w:t>
      </w:r>
    </w:p>
    <w:p>
      <w:pPr>
        <w:pStyle w:val="FirstParagraph"/>
      </w:pPr>
      <w:r>
        <w:t xml:space="preserve">It models sources as clean projections onto</w:t>
      </w:r>
      <w:r>
        <w:t xml:space="preserve"> </w:t>
      </w:r>
      <w:r>
        <w:t xml:space="preserve">independent coordinates; real chunks overlap, contradict, and leak (the measured</w:t>
      </w:r>
      <w:r>
        <w:t xml:space="preserve"> </w:t>
      </w:r>
      <m:oMath>
        <m:r>
          <m:t>θ</m:t>
        </m:r>
      </m:oMath>
      <w:r>
        <w:t xml:space="preserve">-dependence is exactly such leakage), so it is the cleanest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condition</w:t>
      </w:r>
      <w:r>
        <w:t xml:space="preserve"> </w:t>
      </w:r>
      <w:r>
        <w:t xml:space="preserve">for incomparability, realized exactly by our hand-built pairs and not claimed of arbitrary ones.</w:t>
      </w:r>
    </w:p>
    <w:bookmarkEnd w:id="108"/>
    <w:bookmarkStart w:id="109" w:name="Xa5c98a333d19887eef537b0cbe9525006be4a57"/>
    <w:p>
      <w:pPr>
        <w:pStyle w:val="Heading4"/>
      </w:pPr>
      <w:r>
        <w:t xml:space="preserve">Prevalence is not measured, and is the decisive next experiment.</w:t>
      </w:r>
    </w:p>
    <w:p>
      <w:pPr>
        <w:pStyle w:val="FirstParagraph"/>
      </w:pPr>
      <w:r>
        <w:t xml:space="preserve">Every claim here is</w:t>
      </w:r>
      <w:r>
        <w:t xml:space="preserve"> </w:t>
      </w:r>
      <w:r>
        <w:t xml:space="preserve">existential: it establishes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verified incomparability and superset harm occur, on which</w:t>
      </w:r>
      <w:r>
        <w:t xml:space="preserve"> </w:t>
      </w:r>
      <w:r>
        <w:t xml:space="preserve">models, and with which confounds excluded. It does not establish</w:t>
      </w:r>
      <w:r>
        <w:t xml:space="preserve"> </w:t>
      </w:r>
      <w:r>
        <w:rPr>
          <w:i/>
          <w:iCs/>
        </w:rPr>
        <w:t xml:space="preserve">how often</w:t>
      </w:r>
      <w:r>
        <w:t xml:space="preserve"> </w:t>
      </w:r>
      <w:r>
        <w:t xml:space="preserve">either occurs in</w:t>
      </w:r>
      <w:r>
        <w:t xml:space="preserve"> </w:t>
      </w:r>
      <w:r>
        <w:t xml:space="preserve">a deployed retrieval stream, and no number in this paper should be read as an estimate of that.</w:t>
      </w:r>
      <w:r>
        <w:t xml:space="preserve"> </w:t>
      </w:r>
      <w:r>
        <w:t xml:space="preserve">The four cells were built to make the structure visible, so their aggregate magnitudes are</w:t>
      </w:r>
      <w:r>
        <w:t xml:space="preserve"> </w:t>
      </w:r>
      <w:r>
        <w:t xml:space="preserve">diagnostic of the failure mode rather than of production traffic. The direct experiment is</w:t>
      </w:r>
      <w:r>
        <w:t xml:space="preserve"> </w:t>
      </w:r>
      <w:r>
        <w:t xml:space="preserve">specified: draw document pairs from a natural corpus, keep the procedure of</w:t>
      </w:r>
      <w:r>
        <w:t xml:space="preserve"> </w:t>
      </w:r>
      <w:r>
        <w:t xml:space="preserve">Section 6 but write tasks and verifiers that corpus admits, since the four</w:t>
      </w:r>
      <w:r>
        <w:t xml:space="preserve"> </w:t>
      </w:r>
      <w:r>
        <w:t xml:space="preserve">ledger and wire tests do not transfer, and report what fraction verifies incomparable and</w:t>
      </w:r>
      <w:r>
        <w:t xml:space="preserve"> </w:t>
      </w:r>
      <w:r>
        <w:t xml:space="preserve">harmful, with the sampling frame stated. That fraction converts into a lower bound on prevalence</w:t>
      </w:r>
      <w:r>
        <w:t xml:space="preserve"> </w:t>
      </w:r>
      <w:r>
        <w:t xml:space="preserve">without a union bound over pairs. Write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the probability that a drawn pair has the</w:t>
      </w:r>
      <w:r>
        <w:t xml:space="preserve"> </w:t>
      </w:r>
      <w:r>
        <w:t xml:space="preserve">property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event that the procedure verifies it. The procedure is one-sided at level</w:t>
      </w:r>
      <w:r>
        <w:t xml:space="preserve"> </w:t>
      </w:r>
      <m:oMath>
        <m:r>
          <m:t>η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∣</m:t>
        </m:r>
        <m:r>
          <m:rPr>
            <m:nor/>
            <m:sty m:val="p"/>
          </m:rPr>
          <m:t>not 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</m:oMath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t>η</m:t>
        </m:r>
      </m:oMath>
      <w:r>
        <w:t xml:space="preserve">,</w:t>
      </w:r>
      <w:r>
        <w:t xml:space="preserve"> </w:t>
      </w:r>
      <w:r>
        <w:t xml:space="preserve">which rearranges to</w:t>
      </w:r>
      <w:r>
        <w:t xml:space="preserve"> </w:t>
      </w:r>
      <m:oMath>
        <m:r>
          <m:t>π</m:t>
        </m:r>
        <m:r>
          <m:rPr>
            <m:sty m:val="p"/>
          </m:rPr>
          <m:t>≥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</m:oMath>
      <w:r>
        <w:t xml:space="preserve">. Replacing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 an exact</w:t>
      </w:r>
      <w:r>
        <w:t xml:space="preserve"> </w:t>
      </w:r>
      <w:r>
        <w:t xml:space="preserve">Clopper–Pearson lower bound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on the verified fraction over the sampled pairs gives</w:t>
      </w:r>
      <w:r>
        <w:t xml:space="preserve"> </w:t>
      </w:r>
      <m:oMath>
        <m:r>
          <m:t>π</m:t>
        </m:r>
        <m:r>
          <m:rPr>
            <m:sty m:val="p"/>
          </m:rPr>
          <m:t>≥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(</m:t>
        </m:r>
        <m:bar>
          <m:barPr>
            <m:pos m:val="bot"/>
          </m:barPr>
          <m:e>
            <m:r>
              <m:t>p</m:t>
            </m:r>
          </m:e>
        </m:ba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at confidence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 the correction</w:t>
      </w:r>
      <w:r>
        <w:t xml:space="preserve"> </w:t>
      </w:r>
      <w:r>
        <w:t xml:space="preserve">applies to one marginal probability, not once per pair, because nothing here asserts that each</w:t>
      </w:r>
      <w:r>
        <w:t xml:space="preserve"> </w:t>
      </w:r>
      <w:r>
        <w:t xml:space="preserve">individual verified pair is a true positive. Three conditions bind. The pairs and the procedure’s</w:t>
      </w:r>
      <w:r>
        <w:t xml:space="preserve"> </w:t>
      </w:r>
      <w:r>
        <w:t xml:space="preserve">outcomes must be i.i.d. draws from the stated frame, which sharing documents across pairs or</w:t>
      </w:r>
      <w:r>
        <w:t xml:space="preserve"> </w:t>
      </w:r>
      <w:r>
        <w:t xml:space="preserve">selecting them adaptively would break. The property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whatever the certificate actually</w:t>
      </w:r>
      <w:r>
        <w:t xml:space="preserve"> </w:t>
      </w:r>
      <w:r>
        <w:t xml:space="preserve">verifies—PASS-incomparability for a named model on a named task battery, not unconditional</w:t>
      </w:r>
      <w:r>
        <w:t xml:space="preserve"> </w:t>
      </w:r>
      <w:r>
        <w:t xml:space="preserve">Blackwell incomparability of the underlying sources. And a joint claim,</w:t>
      </w:r>
      <w:r>
        <w:t xml:space="preserve"> </w:t>
      </w:r>
      <w:r>
        <w:t xml:space="preserve">“incomparable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harmful,”</w:t>
      </w:r>
      <w:r>
        <w:t xml:space="preserve"> </w:t>
      </w:r>
      <w:r>
        <w:t xml:space="preserve">needs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the one-sided error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redefined for that conjunction</w:t>
      </w:r>
      <w:r>
        <w:t xml:space="preserve"> </w:t>
      </w:r>
      <w:r>
        <w:t xml:space="preserve">rather than reusing these. We name prevalence as the open question rather than approximate it</w:t>
      </w:r>
      <w:r>
        <w:t xml:space="preserve"> </w:t>
      </w:r>
      <w:r>
        <w:t xml:space="preserve">here, because a figure computed from hand-built pairs would be circular.</w:t>
      </w:r>
    </w:p>
    <w:bookmarkEnd w:id="109"/>
    <w:bookmarkStart w:id="110" w:name="scope-of-the-behavioural-controls."/>
    <w:p>
      <w:pPr>
        <w:pStyle w:val="Heading4"/>
      </w:pPr>
      <w:r>
        <w:t xml:space="preserve">Scope of the behavioural controls.</w:t>
      </w:r>
    </w:p>
    <w:p>
      <w:pPr>
        <w:pStyle w:val="FirstParagraph"/>
      </w:pPr>
      <w:r>
        <w:t xml:space="preserve">The padding, routing-note and structured-context</w:t>
      </w:r>
      <w:r>
        <w:t xml:space="preserve"> </w:t>
      </w:r>
      <w:r>
        <w:t xml:space="preserve">arms, and the reversed-order arm, were each run over the same API path as the main record, on</w:t>
      </w:r>
      <w:r>
        <w:t xml:space="preserve"> </w:t>
      </w:r>
      <w:r>
        <w:t xml:space="preserve">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</w:t>
      </w:r>
      <w:r>
        <w:t xml:space="preserve"> </w:t>
      </w:r>
      <w:r>
        <w:t xml:space="preserve">cells, in the same regime and on the same task versions as the main table. None of the four is part of the six-model</w:t>
      </w:r>
      <w:r>
        <w:t xml:space="preserve"> </w:t>
      </w:r>
      <w:r>
        <w:t xml:space="preserve">record, so what these controls establish is established on one model, not across the roster. The</w:t>
      </w:r>
      <w:r>
        <w:t xml:space="preserve"> </w:t>
      </w:r>
      <w:r>
        <w:t xml:space="preserve">padding match is by</w:t>
      </w:r>
      <w:r>
        <w:t xml:space="preserve"> </w:t>
      </w:r>
      <w:r>
        <w:rPr>
          <w:i/>
          <w:iCs/>
        </w:rPr>
        <w:t xml:space="preserve">characters</w:t>
      </w:r>
      <w:r>
        <w:t xml:space="preserve"> </w:t>
      </w:r>
      <w:r>
        <w:t xml:space="preserve">(</w:t>
      </w:r>
      <m:oMath>
        <m:r>
          <m:t>1108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1095</m:t>
        </m:r>
      </m:oMath>
      <w:r>
        <w:t xml:space="preserve"> </w:t>
      </w:r>
      <w:r>
        <w:t xml:space="preserve">at the arm level), not by subword</w:t>
      </w:r>
      <w:r>
        <w:t xml:space="preserve"> </w:t>
      </w:r>
      <w:r>
        <w:t xml:space="preserve">tokens, and because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 while the filler is plain prose the two arms are not</w:t>
      </w:r>
      <w:r>
        <w:t xml:space="preserve"> </w:t>
      </w:r>
      <w:r>
        <w:t xml:space="preserve">tokenizer-matched; token count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isolated, only gross length. The filler is</w:t>
      </w:r>
      <w:r>
        <w:t xml:space="preserve"> </w:t>
      </w:r>
      <w:r>
        <w:t xml:space="preserve">also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module. Taken together, on this model the added block’s</w:t>
      </w:r>
      <w:r>
        <w:t xml:space="preserve"> </w:t>
      </w:r>
      <w:r>
        <w:t xml:space="preserve">content and the routing instruction move the outcome, while equal character-length off-topic</w:t>
      </w:r>
      <w:r>
        <w:t xml:space="preserve"> </w:t>
      </w:r>
      <w:r>
        <w:t xml:space="preserve">filler does not. The controls constrain positional and gross-length explanations in the tested</w:t>
      </w:r>
      <w:r>
        <w:t xml:space="preserve"> </w:t>
      </w:r>
      <w:r>
        <w:t xml:space="preserve">configuration rather than eliminating them: they do not isolate tokenization or processing</w:t>
      </w:r>
      <w:r>
        <w:t xml:space="preserve"> </w:t>
      </w:r>
      <w:r>
        <w:t xml:space="preserve">difficulty, do not identify a unique cause, and do not exclude every position-dependent</w:t>
      </w:r>
      <w:r>
        <w:t xml:space="preserve"> </w:t>
      </w:r>
      <w:r>
        <w:t xml:space="preserve">mechanism. Reversing the two blocks leaves both cells at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 so on this record order changes</w:t>
      </w:r>
      <w:r>
        <w:t xml:space="preserve"> </w:t>
      </w:r>
      <w:r>
        <w:t xml:space="preserve">neither the sign nor the size of the harm, which constrains a positional account without ruling</w:t>
      </w:r>
      <w:r>
        <w:t xml:space="preserve"> </w:t>
      </w:r>
      <w:r>
        <w:t xml:space="preserve">one out for configurations we did not test. The mechanism and</w:t>
      </w:r>
      <w:r>
        <w:t xml:space="preserve"> </w:t>
      </w:r>
      <w:r>
        <w:t xml:space="preserve">refusal counts of Appendix C, with the non-empty extraction record, are likewise</w:t>
      </w:r>
      <w:r>
        <w:t xml:space="preserve"> </w:t>
      </w:r>
      <w:r>
        <w:t xml:space="preserve">automated flags over retained draws: they document what the failing replies contain, establish</w:t>
      </w:r>
      <w:r>
        <w:t xml:space="preserve"> </w:t>
      </w:r>
      <w:r>
        <w:t xml:space="preserve">no universal causal mechanism, and do not exclude every packaging problem. A</w:t>
      </w:r>
      <w:r>
        <w:t xml:space="preserve"> </w:t>
      </w:r>
      <w:r>
        <w:t xml:space="preserve">tokenizer-matched control and an on-topic but verifier-irrelevant control remain untested, as</w:t>
      </w:r>
      <w:r>
        <w:t xml:space="preserve"> </w:t>
      </w:r>
      <w:r>
        <w:t xml:space="preserve">does any of these across the roster. The order control has been run over the same API path as the</w:t>
      </w:r>
      <w:r>
        <w:t xml:space="preserve"> </w:t>
      </w:r>
      <w:r>
        <w:t xml:space="preserve">rest of the controls, but on one model and on the two collapse cells only</w:t>
      </w:r>
      <w:r>
        <w:t xml:space="preserve"> </w:t>
      </w:r>
      <w:r>
        <w:t xml:space="preserve">(see Section 7.4.3).</w:t>
      </w:r>
    </w:p>
    <w:bookmarkEnd w:id="110"/>
    <w:bookmarkStart w:id="111" w:name="sampling-and-verification-regime."/>
    <w:p>
      <w:pPr>
        <w:pStyle w:val="Heading4"/>
      </w:pPr>
      <w:r>
        <w:t xml:space="preserve">Sampling and verification regime.</w:t>
      </w:r>
    </w:p>
    <w:p>
      <w:pPr>
        <w:pStyle w:val="FirstParagraph"/>
      </w:pPr>
      <w:r>
        <w:t xml:space="preserve">The verification assumes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i.i.d. Bernoulli PASS</w:t>
      </w:r>
      <w:r>
        <w:t xml:space="preserve"> </w:t>
      </w:r>
      <w:r>
        <w:t xml:space="preserve">draws per cell (Assumption 2). Each draw is a separate call with no shared session or</w:t>
      </w:r>
      <w:r>
        <w:t xml:space="preserve"> </w:t>
      </w:r>
      <w:r>
        <w:t xml:space="preserve">conversation history (protocol in Appendix D), which makes independence plausible;</w:t>
      </w:r>
      <w:r>
        <w:t xml:space="preserve"> </w:t>
      </w:r>
      <w:r>
        <w:t xml:space="preserve">it does not</w:t>
      </w:r>
      <w:r>
        <w:t xml:space="preserve"> </w:t>
      </w:r>
      <w:r>
        <w:rPr>
          <w:i/>
          <w:iCs/>
        </w:rPr>
        <w:t xml:space="preserve">establish</w:t>
      </w:r>
      <w:r>
        <w:t xml:space="preserve"> </w:t>
      </w:r>
      <w:r>
        <w:t xml:space="preserve">it, nor that the served backend was stationary across a run. Both</w:t>
      </w:r>
      <w:r>
        <w:t xml:space="preserve"> </w:t>
      </w:r>
      <w:r>
        <w:t xml:space="preserve">remain assumptions on which the coverage statements depend, and a provider-side model or routing</w:t>
      </w:r>
      <w:r>
        <w:t xml:space="preserve"> </w:t>
      </w:r>
      <w:r>
        <w:t xml:space="preserve">change during a run would break them silently. Stationarity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runs rests on less</w:t>
      </w:r>
      <w:r>
        <w:t xml:space="preserve"> </w:t>
      </w:r>
      <w:r>
        <w:t xml:space="preserve">still, and the cross-window contrasts of Section 7.3 depend on it; the</w:t>
      </w:r>
      <w:r>
        <w:t xml:space="preserve"> </w:t>
      </w:r>
      <w:r>
        <w:t xml:space="preserve">within-run harm contrasts do not.</w:t>
      </w:r>
      <w:r>
        <w:t xml:space="preserve"> </w:t>
      </w:r>
      <w:r>
        <w:t xml:space="preserve">Marginal-versus-joint control is discussed in Section 8.1.</w:t>
      </w:r>
    </w:p>
    <w:bookmarkEnd w:id="111"/>
    <w:bookmarkStart w:id="112" w:name="ranker-spectrum-and-synergy."/>
    <w:p>
      <w:pPr>
        <w:pStyle w:val="Heading4"/>
      </w:pPr>
      <w:r>
        <w:t xml:space="preserve">Ranker spectrum and synergy.</w:t>
      </w:r>
    </w:p>
    <w:p>
      <w:pPr>
        <w:pStyle w:val="FirstParagraph"/>
      </w:pPr>
      <w:r>
        <w:t xml:space="preserve">The trap mis-rank spans lexical cosine and three</w:t>
      </w:r>
      <w:r>
        <w:t xml:space="preserve"> </w:t>
      </w:r>
      <w:r>
        <w:t xml:space="preserve">representative open-weight learned rankers, with an LLM listwise reranker ranking the pair</w:t>
      </w:r>
      <w:r>
        <w:t xml:space="preserve"> </w:t>
      </w:r>
      <w:r>
        <w:t xml:space="preserve">correctly, which the theory permits rather than predicts, but the</w:t>
      </w:r>
      <w:r>
        <w:t xml:space="preserve"> </w:t>
      </w:r>
      <w:r>
        <w:t xml:space="preserve">learned checkpoints are the small members of their families and the evidence is one trap in one</w:t>
      </w:r>
      <w:r>
        <w:t xml:space="preserve"> </w:t>
      </w:r>
      <w:r>
        <w:t xml:space="preserve">domain. The mis-rank is not evidence of class membership: we do not verify that any learned</w:t>
      </w:r>
      <w:r>
        <w:t xml:space="preserve"> </w:t>
      </w:r>
      <w:r>
        <w:t xml:space="preserve">checkpoint’s score is invariant to the verifier-decisive coordinate or increasing in lexical</w:t>
      </w:r>
      <w:r>
        <w:t xml:space="preserve"> </w:t>
      </w:r>
      <w:r>
        <w:t xml:space="preserve">overlap alone, so Proposition 2 is not shown to bind these</w:t>
      </w:r>
      <w:r>
        <w:t xml:space="preserve"> </w:t>
      </w:r>
      <w:r>
        <w:t xml:space="preserve">rankers. Positive</w:t>
      </w:r>
      <w:r>
        <w:t xml:space="preserve"> </w:t>
      </w:r>
      <w:r>
        <w:t xml:space="preserve">interference (synergy) is untested by construction: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task-disjoint, so a complementary pair would be needed to test whether a superset can also</w:t>
      </w:r>
      <w:r>
        <w:t xml:space="preserve"> </w:t>
      </w:r>
      <w:r>
        <w:rPr>
          <w:i/>
          <w:iCs/>
        </w:rPr>
        <w:t xml:space="preserve">help</w:t>
      </w:r>
      <w:r>
        <w:t xml:space="preserve"> </w:t>
      </w:r>
      <w:r>
        <w:t xml:space="preserve">beyond its parts; we make no claim about it.</w:t>
      </w:r>
    </w:p>
    <w:bookmarkEnd w:id="112"/>
    <w:bookmarkEnd w:id="113"/>
    <w:bookmarkEnd w:id="114"/>
    <w:bookmarkStart w:id="11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Context selection is a partial-order problem, not a scalar one. Blackwell’s comparison of</w:t>
      </w:r>
      <w:r>
        <w:t xml:space="preserve"> </w:t>
      </w:r>
      <w:r>
        <w:t xml:space="preserve">experiments identifies a structural limitation of task-independent context rankings: when two</w:t>
      </w:r>
      <w:r>
        <w:t xml:space="preserve"> </w:t>
      </w:r>
      <w:r>
        <w:t xml:space="preserve">sources are incomparable, no one per-source score fixed across tasks ranks them correctly for every</w:t>
      </w:r>
      <w:r>
        <w:t xml:space="preserve"> </w:t>
      </w:r>
      <w:r>
        <w:t xml:space="preserve">decision problem (Theorem 2). For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model rules we measure a</w:t>
      </w:r>
      <w:r>
        <w:t xml:space="preserve"> </w:t>
      </w:r>
      <w:r>
        <w:t xml:space="preserve">separate, task-restricted PASS relation with finite-sample bounds, tied to the classical order only</w:t>
      </w:r>
      <w:r>
        <w:t xml:space="preserve"> </w:t>
      </w:r>
      <w:r>
        <w:t xml:space="preserve">through the conditional bridge of Lemma 2. On six models across four vendors both</w:t>
      </w:r>
      <w:r>
        <w:t xml:space="preserve"> </w:t>
      </w:r>
      <w:r>
        <w:t xml:space="preserve">directions of PASS-incomparability stay positive under a joint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guarantee; on each of them a</w:t>
      </w:r>
      <w:r>
        <w:t xml:space="preserve"> </w:t>
      </w:r>
      <w:r>
        <w:t xml:space="preserve">deployed relevance score ranks the pair the wrong way on a designed trap; and adding a strictly</w:t>
      </w:r>
      <w:r>
        <w:t xml:space="preserve"> </w:t>
      </w:r>
      <w:r>
        <w:t xml:space="preserve">larger source lowers PASS on all twelve tested API contrasts, eleven of which meet the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harm</w:t>
      </w:r>
      <w:r>
        <w:t xml:space="preserve"> </w:t>
      </w:r>
      <w:r>
        <w:t xml:space="preserve">margin under joint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control, with every model retaining at least one verified contrast. What a private source is worth is model-relative: guessability runs from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six models, one of which solves the task with no context at all, and</w:t>
      </w:r>
      <w:r>
        <w:t xml:space="preserve"> </w:t>
      </w:r>
      <w:r>
        <w:t xml:space="preserve">what it tracks these runs cannot identify. Bringing Blackwell and Le Cam to inference-time context is not ours to claim; concurrent</w:t>
      </w:r>
      <w:r>
        <w:t xml:space="preserve"> </w:t>
      </w:r>
      <w:r>
        <w:t xml:space="preserve">work reached the same apparatus from the admission side (see Section 2.3). What</w:t>
      </w:r>
      <w:r>
        <w:t xml:space="preserve"> </w:t>
      </w:r>
      <w:r>
        <w:t xml:space="preserve">follows from taking</w:t>
      </w:r>
      <w:r>
        <w:t xml:space="preserve"> </w:t>
      </w:r>
      <w:r>
        <w:rPr>
          <w:i/>
          <w:iCs/>
        </w:rPr>
        <w:t xml:space="preserve">incomparability</w:t>
      </w:r>
      <w:r>
        <w:t xml:space="preserve"> </w:t>
      </w:r>
      <w:r>
        <w:t xml:space="preserve">rather than deficiency-minimization as the object is the</w:t>
      </w:r>
      <w:r>
        <w:t xml:space="preserve"> </w:t>
      </w:r>
      <w:r>
        <w:t xml:space="preserve">impossibility, and the instrument that tests it.</w:t>
      </w:r>
    </w:p>
    <w:p>
      <w:pPr>
        <w:pStyle w:val="BodyText"/>
      </w:pPr>
      <w:r>
        <w:t xml:space="preserve">The scope is narrow and stated exactly. Theorem 2 and</w:t>
      </w:r>
      <w:r>
        <w:t xml:space="preserve"> </w:t>
      </w:r>
      <w:r>
        <w:t xml:space="preserve">Lemma 2 concern the idealized Bayes-optimal user, while</w:t>
      </w:r>
      <w:r>
        <w:t xml:space="preserve"> </w:t>
      </w:r>
      <w:r>
        <w:t xml:space="preserve">Theorem 3 concerns the fixed rule a model realizes and invokes no such user at</w:t>
      </w:r>
      <w:r>
        <w:t xml:space="preserve"> </w:t>
      </w:r>
      <w:r>
        <w:t xml:space="preserve">all; the measured crossover and collapse are properties of those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rules; the two</w:t>
      </w:r>
      <w:r>
        <w:t xml:space="preserve"> </w:t>
      </w:r>
      <w:r>
        <w:t xml:space="preserve">sources’</w:t>
      </w:r>
      <w:r>
        <w:t xml:space="preserve"> </w:t>
      </w:r>
      <w:r>
        <w:t xml:space="preserve">incomparability is structural, resting on the projection construction and Lemma 1</w:t>
      </w:r>
      <w:r>
        <w:t xml:space="preserve"> </w:t>
      </w:r>
      <w:r>
        <w:t xml:space="preserve">rather than on measurement; Lemma 2 is a conditional Bayes-value criterion whose</w:t>
      </w:r>
      <w:r>
        <w:t xml:space="preserve"> </w:t>
      </w:r>
      <w:r>
        <w:t xml:space="preserve">guessing caps we do not estimate; and the estimator is a regret-gap surrogate, not a Le Cam</w:t>
      </w:r>
      <w:r>
        <w:t xml:space="preserve"> </w:t>
      </w:r>
      <w:r>
        <w:t xml:space="preserve">deficiency. All six models are measured under one protocol, so cross-vendor magnitudes carry no</w:t>
      </w:r>
      <w:r>
        <w:t xml:space="preserve"> </w:t>
      </w:r>
      <w:r>
        <w:t xml:space="preserve">transport confound; they remain read with caution as model differences and collection windows</w:t>
      </w:r>
      <w:r>
        <w:t xml:space="preserve"> </w:t>
      </w:r>
      <w:r>
        <w:t xml:space="preserve">(see Section 7.3); the verified claims are within-model contrasts. What the impossibility</w:t>
      </w:r>
      <w:r>
        <w:t xml:space="preserve"> </w:t>
      </w:r>
      <w:r>
        <w:t xml:space="preserve">excludes is one number per source fixed across tasks and query-conditioned scores meeting the two</w:t>
      </w:r>
      <w:r>
        <w:t xml:space="preserve"> </w:t>
      </w:r>
      <w:r>
        <w:t xml:space="preserve">hypotheses of Proposition 2; a task-conditioned score, a router over</w:t>
      </w:r>
      <w:r>
        <w:t xml:space="preserve"> </w:t>
      </w:r>
      <w:r>
        <w:t xml:space="preserve">public metadata, or a listwise reader that pays to read the decisive content lie outside it</w:t>
      </w:r>
      <w:r>
        <w:t xml:space="preserve"> </w:t>
      </w:r>
      <w:r>
        <w:t xml:space="preserve">(Remark 6). The behavioural controls constrain block-order and gross-length</w:t>
      </w:r>
      <w:r>
        <w:t xml:space="preserve"> </w:t>
      </w:r>
      <w:r>
        <w:t xml:space="preserve">explanations on one model; they do not establish an internal mechanism. The decisive next test is</w:t>
      </w:r>
      <w:r>
        <w:t xml:space="preserve"> </w:t>
      </w:r>
      <w:r>
        <w:t xml:space="preserve">prevalence: draw source pairs from a</w:t>
      </w:r>
      <w:r>
        <w:t xml:space="preserve"> </w:t>
      </w:r>
      <w:r>
        <w:t xml:space="preserve">natural corpus rather than building them, run the same verification unchanged, and report how often</w:t>
      </w:r>
      <w:r>
        <w:t xml:space="preserve"> </w:t>
      </w:r>
      <w:r>
        <w:t xml:space="preserve">a deployed retrieval stream produces a pair that verifies incomparable (see Section 8.4).</w:t>
      </w:r>
    </w:p>
    <w:bookmarkEnd w:id="115"/>
    <w:bookmarkStart w:id="11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A.B. and V.L.; methodology, A.B., V.L. and P.P.; software, A.B.; validation,</w:t>
      </w:r>
      <w:r>
        <w:t xml:space="preserve"> </w:t>
      </w:r>
      <w:r>
        <w:t xml:space="preserve">A.B., V.L. and Z.R.; formal analysis, A.B. and P.P.; investigation, A.B.; resources, V.L.; data</w:t>
      </w:r>
      <w:r>
        <w:t xml:space="preserve"> </w:t>
      </w:r>
      <w:r>
        <w:t xml:space="preserve">curation, A.B.; writing—original draft preparation, A.B.; writing—review and editing, A.B.,</w:t>
      </w:r>
      <w:r>
        <w:t xml:space="preserve"> </w:t>
      </w:r>
      <w:r>
        <w:t xml:space="preserve">V.L., P.P. and Z.R.; visualization, A.B. and Z.R.; supervision, V.L. and P.P.; project</w:t>
      </w:r>
      <w:r>
        <w:t xml:space="preserve"> </w:t>
      </w:r>
      <w:r>
        <w:t xml:space="preserve">administration, V.L. All authors have read and agreed to the published version of the manuscript.</w:t>
      </w:r>
    </w:p>
    <w:bookmarkEnd w:id="116"/>
    <w:bookmarkStart w:id="117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 The measurement costs reported in</w:t>
      </w:r>
      <w:r>
        <w:t xml:space="preserve"> </w:t>
      </w:r>
      <w:r>
        <w:t xml:space="preserve">Appendix D were borne by the authors.</w:t>
      </w:r>
    </w:p>
    <w:bookmarkEnd w:id="117"/>
    <w:bookmarkStart w:id="118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The study involved no human participants and no animals; all measurements are</w:t>
      </w:r>
      <w:r>
        <w:t xml:space="preserve"> </w:t>
      </w:r>
      <w:r>
        <w:t xml:space="preserve">automated queries to commercial language-model endpoints, graded by executable verifiers.</w:t>
      </w:r>
    </w:p>
    <w:bookmarkEnd w:id="118"/>
    <w:bookmarkStart w:id="119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119"/>
    <w:bookmarkStart w:id="120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data and code supporting the reported results are openly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repository contains the measurement</w:t>
      </w:r>
      <w:r>
        <w:t xml:space="preserve"> </w:t>
      </w:r>
      <w:r>
        <w:t xml:space="preserve">harness (Python standard library only), every per-model run log and result file cited in</w:t>
      </w:r>
      <w:r>
        <w:t xml:space="preserve"> </w:t>
      </w:r>
      <w:r>
        <w:t xml:space="preserve">Appendix B, and the raw-completion diagnostic records of</w:t>
      </w:r>
      <w:r>
        <w:t xml:space="preserve"> </w:t>
      </w:r>
      <w:r>
        <w:t xml:space="preserve">Section 7.4.5. Two kinds of record must be distinguished. The original runs stored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per-cell counts and logs; raw model completions were not retained, and cannot be</w:t>
      </w:r>
      <w:r>
        <w:t xml:space="preserve"> </w:t>
      </w:r>
      <w:r>
        <w:t xml:space="preserve">recovered. The retained completions of Appendix C.1 and the diagnostic runs stored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completions, and those are released in full. Claims that depend on reading replies are</w:t>
      </w:r>
      <w:r>
        <w:t xml:space="preserve"> </w:t>
      </w:r>
      <w:r>
        <w:t xml:space="preserve">therefore made only against the second kind.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every released</w:t>
      </w:r>
      <w:r>
        <w:t xml:space="preserve"> </w:t>
      </w:r>
      <w:r>
        <w:t xml:space="preserve">record by SHA-256 and maps each table and figure to the files it is computed from; it certifies</w:t>
      </w:r>
      <w:r>
        <w:t xml:space="preserve"> </w:t>
      </w:r>
      <w:r>
        <w:t xml:space="preserve">the integrity of what is published, not the existence of what was never kept. The repository’s</w:t>
      </w:r>
      <w:r>
        <w:t xml:space="preserve"> </w:t>
      </w:r>
      <w:r>
        <w:t xml:space="preserve">full commit history is published with it, so the provenance of every artifact is inspectable. No</w:t>
      </w:r>
      <w:r>
        <w:t xml:space="preserve"> </w:t>
      </w:r>
      <w:r>
        <w:t xml:space="preserve">data were withheld; every reported figure is computed from those files by the released scripts.</w:t>
      </w:r>
    </w:p>
    <w:bookmarkEnd w:id="120"/>
    <w:bookmarkStart w:id="121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Anthropic’s Claude models were used for code scaffolding, experimental-plan review,</w:t>
      </w:r>
      <w:r>
        <w:t xml:space="preserve"> </w:t>
      </w:r>
      <w:r>
        <w:t xml:space="preserve">implementation assistance, consistency and artifact audits, manuscript organization, and</w:t>
      </w:r>
      <w:r>
        <w:t xml:space="preserve"> </w:t>
      </w:r>
      <w:r>
        <w:t xml:space="preserve">LaTeX formatting. OpenAI’s Codex was used separately to audit the manuscript against the</w:t>
      </w:r>
      <w:r>
        <w:t xml:space="preserve"> </w:t>
      </w:r>
      <w:r>
        <w:t xml:space="preserve">released records; several errors it found, including a diagnostic rule that under-reported what</w:t>
      </w:r>
      <w:r>
        <w:t xml:space="preserve"> </w:t>
      </w:r>
      <w:r>
        <w:t xml:space="preserve">it was testing for, are corrected in this version, and each correction was checked by re-running</w:t>
      </w:r>
      <w:r>
        <w:t xml:space="preserve"> </w:t>
      </w:r>
      <w:r>
        <w:t xml:space="preserve">the released scripts. The authors inspected code changes, executed the experiments, verified</w:t>
      </w:r>
      <w:r>
        <w:t xml:space="preserve"> </w:t>
      </w:r>
      <w:r>
        <w:t xml:space="preserve">outputs against frozen manifests and source files, checked cited sources, and take full</w:t>
      </w:r>
      <w:r>
        <w:t xml:space="preserve"> </w:t>
      </w:r>
      <w:r>
        <w:t xml:space="preserve">responsibility for the study design, results, interpretations, and manuscript.</w:t>
      </w:r>
    </w:p>
    <w:bookmarkEnd w:id="121"/>
    <w:bookmarkStart w:id="122" w:name="X662c2d66dd1eda3268d2087202c966cd73b2601"/>
    <w:p>
      <w:pPr>
        <w:pStyle w:val="Heading1"/>
      </w:pPr>
      <w:r>
        <w:t xml:space="preserve">Use of Generative Artificial Intelligence</w:t>
      </w:r>
    </w:p>
    <w:p>
      <w:pPr>
        <w:pStyle w:val="FirstParagraph"/>
      </w:pPr>
      <w:r>
        <w:t xml:space="preserve">Language models appear in this work in two distinct roles, and we separate them because only one</w:t>
      </w:r>
      <w:r>
        <w:t xml:space="preserve"> </w:t>
      </w:r>
      <w:r>
        <w:t xml:space="preserve">bears on the results.</w:t>
      </w:r>
      <w:r>
        <w:t xml:space="preserve"> </w:t>
      </w:r>
      <w:r>
        <w:rPr>
          <w:i/>
          <w:iCs/>
        </w:rPr>
        <w:t xml:space="preserve">As the object of study:</w:t>
      </w:r>
      <w:r>
        <w:t xml:space="preserve"> </w:t>
      </w:r>
      <w:r>
        <w:t xml:space="preserve">the measured quantities are pass rates of</w:t>
      </w:r>
      <w:r>
        <w:t xml:space="preserve"> </w:t>
      </w:r>
      <w:r>
        <w:t xml:space="preserve">commercial language models, obtained through the interfaces described in</w:t>
      </w:r>
      <w:r>
        <w:t xml:space="preserve"> </w:t>
      </w:r>
      <w:r>
        <w:t xml:space="preserve">Section 7.3; everything else we report, the confidence bounds, the ranker scores, the</w:t>
      </w:r>
      <w:r>
        <w:t xml:space="preserve"> </w:t>
      </w:r>
      <w:r>
        <w:t xml:space="preserve">token and cost figures, is computed from those runs.</w:t>
      </w:r>
      <w:r>
        <w:t xml:space="preserve"> </w:t>
      </w:r>
      <w:r>
        <w:rPr>
          <w:i/>
          <w:iCs/>
        </w:rPr>
        <w:t xml:space="preserve">As a tool:</w:t>
      </w:r>
      <w:r>
        <w:t xml:space="preserve"> </w:t>
      </w:r>
      <w:r>
        <w:t xml:space="preserve">generative-AI tools assisted</w:t>
      </w:r>
      <w:r>
        <w:t xml:space="preserve"> </w:t>
      </w:r>
      <w:r>
        <w:t xml:space="preserve">with the tasks disclosed in the Acknowledgments, analysis and interpretation among them. Every</w:t>
      </w:r>
      <w:r>
        <w:t xml:space="preserve"> </w:t>
      </w:r>
      <w:r>
        <w:t xml:space="preserve">numerical result was computed by the released scripts from the released records, which</w:t>
      </w:r>
      <w:r>
        <w:t xml:space="preserve"> </w:t>
      </w:r>
      <w:r>
        <w:rPr>
          <w:rStyle w:val="VerbatimChar"/>
        </w:rPr>
        <w:t xml:space="preserve">results/MANIFEST.md</w:t>
      </w:r>
      <w:r>
        <w:t xml:space="preserve"> </w:t>
      </w:r>
      <w:r>
        <w:t xml:space="preserve">pins by SHA-256 and maps to the table or figure that uses it, and was</w:t>
      </w:r>
      <w:r>
        <w:t xml:space="preserve"> </w:t>
      </w:r>
      <w:r>
        <w:t xml:space="preserve">checked by the authors, who retain responsibility for the analysis and the conclusions. The Data Availability Statement says which records are aggregate-only and</w:t>
      </w:r>
      <w:r>
        <w:t xml:space="preserve"> </w:t>
      </w:r>
      <w:r>
        <w:t xml:space="preserve">which retain raw completions.</w:t>
      </w:r>
    </w:p>
    <w:bookmarkEnd w:id="122"/>
    <w:bookmarkStart w:id="123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 of interest.</w:t>
      </w:r>
    </w:p>
    <w:bookmarkEnd w:id="123"/>
    <w:bookmarkStart w:id="124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BSS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Blackwell–Sherman–Stein (theorem)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Clopper–Pearson (exact binomial confidence interval)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Determinantal point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information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retrieval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language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 marginal 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rate of a fixed model rule on a verifier-graded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ranking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Retrieval-augmented generation</w:t>
            </w:r>
          </w:p>
        </w:tc>
      </w:tr>
    </w:tbl>
    <w:bookmarkEnd w:id="124"/>
    <w:bookmarkStart w:id="136" w:name="app:proofs"/>
    <w:p>
      <w:pPr>
        <w:pStyle w:val="Heading1"/>
      </w:pPr>
      <w:r>
        <w:t xml:space="preserve">Deferred proofs and technical material</w:t>
      </w:r>
    </w:p>
    <w:bookmarkStart w:id="125" w:name="proof-of-lemma-1"/>
    <w:p>
      <w:pPr>
        <w:pStyle w:val="Heading2"/>
      </w:pPr>
      <w:r>
        <w:t xml:space="preserve">Proof of Lemma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rPr>
          <w:i/>
          <w:iCs/>
        </w:rPr>
        <w:t xml:space="preserve">(a)</w:t>
      </w:r>
      <w:r>
        <w:t xml:space="preserve"> </w:t>
      </w:r>
      <w:r>
        <w:t xml:space="preserve">For deterministic experiments a garbling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 </w:t>
      </w:r>
      <w:r>
        <w:t xml:space="preserve">must compute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alone (no further access to</w:t>
      </w:r>
      <w:r>
        <w:t xml:space="preserve"> </w:t>
      </w:r>
      <m:oMath>
        <m:r>
          <m:t>S</m:t>
        </m:r>
      </m:oMath>
      <w:r>
        <w:t xml:space="preserve">). Such a measurable map</w:t>
      </w:r>
      <w:r>
        <w:t xml:space="preserve"> </w:t>
      </w:r>
      <w:r>
        <w:t xml:space="preserve">exists iff</w:t>
      </w:r>
      <w:r>
        <w:t xml:space="preserve"> </w:t>
      </w:r>
      <m:oMath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i.e. 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⊆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sSub>
              <m:e>
                <m:r>
                  <m:t>W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.</w:t>
      </w:r>
      <w:r>
        <w:t xml:space="preserve"> </w:t>
      </w:r>
      <w:r>
        <w:t xml:space="preserve">Under coordinate independence and non-degeneracy,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⊆</m:t>
        </m:r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 iff</w:t>
      </w:r>
      <w:r>
        <w:t xml:space="preserve"> </w:t>
      </w:r>
      <w:r>
        <w:t xml:space="preserve">every coordinate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among those in</w:t>
      </w:r>
      <w:r>
        <w:t xml:space="preserve"> </w:t>
      </w:r>
      <m:oMath>
        <m:r>
          <m:t>A</m:t>
        </m:r>
      </m:oMath>
      <w:r>
        <w:t xml:space="preserve">, i.e. 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: if some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 non-constant, so it is not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-measurable, and no garbling can reconstruct it; conversely if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coordinate-deletion map is a (deterministic) garbling.</w:t>
      </w:r>
      <w:r>
        <w:t xml:space="preserve"> </w:t>
      </w:r>
      <w:r>
        <w:rPr>
          <w:i/>
          <w:iCs/>
        </w:rPr>
        <w:t xml:space="preserve">(b)</w:t>
      </w:r>
      <w:r>
        <w:t xml:space="preserve"> </w:t>
      </w:r>
      <w:r>
        <w:t xml:space="preserve">is the contrapositive of (a)</w:t>
      </w:r>
      <w:r>
        <w:t xml:space="preserve"> </w:t>
      </w:r>
      <w:r>
        <w:t xml:space="preserve">applied in both directions. ◻</w:t>
      </w:r>
    </w:p>
    <w:bookmarkEnd w:id="125"/>
    <w:bookmarkStart w:id="126" w:name="proof-of-lemma-2"/>
    <w:p>
      <w:pPr>
        <w:pStyle w:val="Heading2"/>
      </w:pPr>
      <w:r>
        <w:t xml:space="preserve">Proof of Lemma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w:r>
        <w:t xml:space="preserve">Suppose, for contradiction,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By Theorem 1,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task</w:t>
      </w:r>
      <w:r>
        <w:t xml:space="preserve"> </w:t>
      </w:r>
      <m:oMath>
        <m:r>
          <m:t>T</m:t>
        </m:r>
      </m:oMath>
      <w:r>
        <w:t xml:space="preserve">, in particular at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. By the</w:t>
      </w:r>
      <w:r>
        <w:t xml:space="preserve"> </w:t>
      </w:r>
      <w:r>
        <w:t xml:space="preserve">sufficiency hypothesis,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’s verifier is determined by its decisive coordinate, which lies in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is revealed exactly by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(Definition 3). Solvability,</w:t>
      </w:r>
      <w:r>
        <w:t xml:space="preserve"> </w:t>
      </w:r>
      <w:r>
        <w:t xml:space="preserve">the hypothesis’s separate half, supplies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 an action the verifier accepts,</w:t>
      </w:r>
      <w:r>
        <w:t xml:space="preserve"> </w:t>
      </w:r>
      <w:r>
        <w:t xml:space="preserve">measurable in that coordinate and the facts known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surely. Reading the coordinate</w:t>
      </w:r>
      <w:r>
        <w:t xml:space="preserve"> </w:t>
      </w:r>
      <w:r>
        <w:t xml:space="preserve">off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and playing that action attains</w:t>
      </w:r>
      <w:r>
        <w:t xml:space="preserve"> </w:t>
      </w:r>
      <m:oMath>
        <m:sSub>
          <m:e>
            <m:r>
              <m:t>v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-almost surely, so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 By hypothesis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 hence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a contradiction. Therefore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⋡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symmetrically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forbids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Blackwell-incomparable.</w:t>
      </w:r>
    </w:p>
    <w:p>
      <w:pPr>
        <w:pStyle w:val="BodyText"/>
      </w:pPr>
      <w:r>
        <w:t xml:space="preserve">Two things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are worth stating, because the natural shorter proof</w:t>
      </w:r>
      <w:r>
        <w:t xml:space="preserve"> </w:t>
      </w:r>
      <w:r>
        <w:t xml:space="preserve">uses both and is wrong. It never asserts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: the left side is</w:t>
      </w:r>
      <w:r>
        <w:t xml:space="preserve"> </w:t>
      </w:r>
      <w:r>
        <w:t xml:space="preserve">a Bayes value under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, the right a pass rate at the single realized convention, and</w:t>
      </w:r>
      <w:r>
        <w:t xml:space="preserve"> </w:t>
      </w:r>
      <w:r>
        <w:t xml:space="preserve">optimality relates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only to the</w:t>
      </w:r>
      <w:r>
        <w:t xml:space="preserve"> </w:t>
      </w:r>
      <m:oMath>
        <m:sSub>
          <m:e>
            <m:r>
              <m:t>μ</m:t>
            </m:r>
          </m:e>
          <m:sub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sub>
        </m:sSub>
      </m:oMath>
      <w:r>
        <w:t xml:space="preserve">-averaged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</m:e>
            </m:bar>
          </m:e>
          <m:sub>
            <m:r>
              <m:t>M</m:t>
            </m:r>
          </m:sub>
        </m:sSub>
      </m:oMath>
      <w:r>
        <w:t xml:space="preserve"> </w:t>
      </w:r>
      <w:r>
        <w:t xml:space="preserve">(Remark 1). And it never treats the measured crossover as the hypothesis or as an</w:t>
      </w:r>
      <w:r>
        <w:t xml:space="preserve"> </w:t>
      </w:r>
      <w:r>
        <w:t xml:space="preserve">estimate of it: the caps are assumed, and nothing reported here determines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t xml:space="preserve">. In the</w:t>
      </w:r>
      <w:r>
        <w:t xml:space="preserve"> </w:t>
      </w:r>
      <w:r>
        <w:t xml:space="preserve">converse direction the caps keep apart two failures a bare crossover cannot distinguish: opposed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rates on a strictly</w:t>
      </w:r>
      <w:r>
        <w:t xml:space="preserve"> </w:t>
      </w:r>
      <w:r>
        <w:rPr>
          <w:i/>
          <w:iCs/>
        </w:rPr>
        <w:t xml:space="preserve">comparable</w:t>
      </w:r>
      <w:r>
        <w:t xml:space="preserve"> </w:t>
      </w:r>
      <w:r>
        <w:t xml:space="preserve">pair, which is what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gives, with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strictly and Theorem 3’s non-coherence a monotonicity</w:t>
      </w:r>
      <w:r>
        <w:t xml:space="preserve"> </w:t>
      </w:r>
      <w:r>
        <w:t xml:space="preserve">violation; and opposed rates under Blackwell</w:t>
      </w:r>
      <w:r>
        <w:t xml:space="preserve"> </w:t>
      </w:r>
      <w:r>
        <w:rPr>
          <w:i/>
          <w:iCs/>
        </w:rPr>
        <w:t xml:space="preserve">equivalence</w:t>
      </w:r>
      <w:r>
        <w:t xml:space="preserve">, illustrated without a certified</w:t>
      </w:r>
      <w:r>
        <w:t xml:space="preserve"> </w:t>
      </w:r>
      <w:r>
        <w:t xml:space="preserve">instance by the padding arm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(Remarks 3</w:t>
      </w:r>
      <w:r>
        <w:t xml:space="preserve"> </w:t>
      </w:r>
      <w:r>
        <w:t xml:space="preserve">and 2). Neither licenses a structural conclusion from a crossover alone.</w:t>
      </w:r>
    </w:p>
    <w:p>
      <w:pPr>
        <w:pStyle w:val="BodyText"/>
      </w:pPr>
      <w:r>
        <w:t xml:space="preserve">(b)</w:t>
      </w:r>
      <w:r>
        <w:t xml:space="preserve"> </w:t>
      </w:r>
      <w:r>
        <w:t xml:space="preserve">Assumption 1 directly yields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reverse at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, which is Definition 5’s incomparability. The</w:t>
      </w:r>
      <w:r>
        <w:t xml:space="preserve"> </w:t>
      </w:r>
      <w:r>
        <w:t xml:space="preserve">unconditional converse fails, witnessed by the decoder that ignores its context: whatever the</w:t>
      </w:r>
      <w:r>
        <w:t xml:space="preserve"> </w:t>
      </w:r>
      <w:r>
        <w:t xml:space="preserve">sources,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D</m:t>
        </m:r>
      </m:oMath>
      <w:r>
        <w:t xml:space="preserve">, so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both hold and the pair is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rPr>
            <m:scr m:val="script"/>
            <m:sty m:val="p"/>
          </m:rPr>
          <m:t>D</m:t>
        </m:r>
        <m:r>
          <m:rPr>
            <m:sty m:val="p"/>
          </m:rPr>
          <m:t>)</m:t>
        </m:r>
      </m:oMath>
      <w:r>
        <w:t xml:space="preserve">-comparable however</w:t>
      </w:r>
      <w:r>
        <w:t xml:space="preserve"> </w:t>
      </w:r>
      <w:r>
        <w:t xml:space="preserve">Blackwell-incomparable it is. A monotonicity violation on a</w:t>
      </w:r>
      <w:r>
        <w:t xml:space="preserve"> </w:t>
      </w:r>
      <w:r>
        <w:rPr>
          <w:i/>
          <w:iCs/>
        </w:rPr>
        <w:t xml:space="preserve">comparable</w:t>
      </w:r>
      <w:r>
        <w:t xml:space="preserve"> </w:t>
      </w:r>
      <w:r>
        <w:t xml:space="preserve">pair is a different</w:t>
      </w:r>
      <w:r>
        <w:t xml:space="preserve"> </w:t>
      </w:r>
      <w:r>
        <w:t xml:space="preserve">phenomenon, not by itself such a witness. ◻</w:t>
      </w:r>
    </w:p>
    <w:bookmarkEnd w:id="126"/>
    <w:bookmarkStart w:id="127" w:name="proof-of-theorem-2"/>
    <w:p>
      <w:pPr>
        <w:pStyle w:val="Heading2"/>
      </w:pPr>
      <w:r>
        <w:t xml:space="preserve">Proof of Theorem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By incomparability, neither source garbles the other. By the contrapositive of</w:t>
      </w:r>
      <w:r>
        <w:t xml:space="preserve"> </w:t>
      </w:r>
      <w:r>
        <w:t xml:space="preserve">Theorem 1,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(a prior plus bounded</w:t>
      </w:r>
      <w:r>
        <w:t xml:space="preserve"> </w:t>
      </w:r>
      <w:r>
        <w:t xml:space="preserve">utility) 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“not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”</w:t>
      </w:r>
      <w:r>
        <w:t xml:space="preserve"> </w:t>
      </w:r>
      <w:r>
        <w:t xml:space="preserve">yields a task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; both inequalities are</w:t>
      </w:r>
      <w:r>
        <w:t xml:space="preserve"> </w:t>
      </w:r>
      <w:r>
        <w:rPr>
          <w:i/>
          <w:iCs/>
        </w:rPr>
        <w:t xml:space="preserve">strict</w:t>
      </w:r>
      <w:r>
        <w:t xml:space="preserve">. These witnesses carry bounded utility and need not be binary</w:t>
      </w:r>
      <w:r>
        <w:t xml:space="preserve"> </w:t>
      </w:r>
      <w:r>
        <w:t xml:space="preserve">verifiers (Definition 2); for projection sources they may be taken binary (proof</w:t>
      </w:r>
      <w:r>
        <w:t xml:space="preserve"> </w:t>
      </w:r>
      <w:r>
        <w:t xml:space="preserve">of Lemma 2</w:t>
      </w:r>
      <w:r>
        <w:t xml:space="preserve">(a)</w:t>
      </w:r>
      <w:r>
        <w:t xml:space="preserve">). A query-independent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assigns the single ordered</w:t>
      </w:r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fixing one task-independent total</w:t>
      </w:r>
      <w:r>
        <w:t xml:space="preserve"> </w:t>
      </w:r>
      <w:r>
        <w:rPr>
          <w:i/>
          <w:iCs/>
        </w:rPr>
        <w:t xml:space="preserve">preorder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. If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it expresses no strict preference and is unfaithful</w:t>
      </w:r>
      <w:r>
        <w:t xml:space="preserve"> </w:t>
      </w:r>
      <w:r>
        <w:t xml:space="preserve">on both; otherwise the strict order it fixes agrees with the optimal-value order on at most one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(they point opposite ways) and is violated on the other. Either way faithfulness fails</w:t>
      </w:r>
      <w:r>
        <w:t xml:space="preserve"> </w:t>
      </w:r>
      <w:r>
        <w:t xml:space="preserve">on at least one, which is the claim, and a fixed task-independent tie-breaking rule only removes</w:t>
      </w:r>
      <w:r>
        <w:t xml:space="preserve"> </w:t>
      </w:r>
      <w:r>
        <w:t xml:space="preserve">the first case. The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conclusion follows by replacing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via Assumption 1, which guarantees the realized rule reproduces both</w:t>
      </w:r>
      <w:r>
        <w:t xml:space="preserve"> </w:t>
      </w:r>
      <w:r>
        <w:t xml:space="preserve">strict inequalities with margin</w:t>
      </w:r>
      <w:r>
        <w:t xml:space="preserve"> </w:t>
      </w:r>
      <m:oMath>
        <m:r>
          <m:t>γ</m:t>
        </m:r>
      </m:oMath>
      <w:r>
        <w:t xml:space="preserve">. ◻</w:t>
      </w:r>
    </w:p>
    <w:bookmarkEnd w:id="127"/>
    <w:bookmarkStart w:id="128" w:name="proof-of-proposition-2"/>
    <w:p>
      <w:pPr>
        <w:pStyle w:val="Heading2"/>
      </w:pPr>
      <w:r>
        <w:t xml:space="preserve">Proof of Proposition 2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For (a),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r>
          <m:t>ψ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force equal scores, while</w:t>
      </w:r>
      <w:r>
        <w:t xml:space="preserve"> </w:t>
      </w:r>
      <w:r>
        <w:t xml:space="preserve">faithfulness on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would require a strict gap. For (b),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strictly increasing gives</w:t>
      </w:r>
      <w:r>
        <w:t xml:space="preserve"> </w:t>
      </w:r>
      <m:oMath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φ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utility favours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’s PASS requires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coordinate; the two orders</w:t>
      </w:r>
      <w:r>
        <w:t xml:space="preserve"> </w:t>
      </w:r>
      <w:r>
        <w:t xml:space="preserve">disagree. Part (b) makes</w:t>
      </w:r>
      <w:r>
        <w:t xml:space="preserve"> </w:t>
      </w:r>
      <w:r>
        <w:t xml:space="preserve">explicit the two things the informal reading of</w:t>
      </w:r>
      <w:r>
        <w:t xml:space="preserve"> </w:t>
      </w:r>
      <w:r>
        <w:t xml:space="preserve">“saturated lexicon”</w:t>
      </w:r>
      <w:r>
        <w:t xml:space="preserve"> </w:t>
      </w:r>
      <w:r>
        <w:t xml:space="preserve">presumes, strict monotonicity</w:t>
      </w:r>
      <w:r>
        <w:t xml:space="preserve"> </w:t>
      </w:r>
      <w:r>
        <w:t xml:space="preserve">and overlap being the only feature read, without which no strict inequality follows. ◻</w:t>
      </w:r>
    </w:p>
    <w:bookmarkEnd w:id="128"/>
    <w:bookmarkStart w:id="129" w:name="proof-of-proposition-1"/>
    <w:p>
      <w:pPr>
        <w:pStyle w:val="Heading2"/>
      </w:pPr>
      <w:r>
        <w:t xml:space="preserve">Proof of Proposition 1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garbling with</w:t>
      </w:r>
      <w:r>
        <w:t xml:space="preserve"> </w:t>
      </w:r>
      <m:oMath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. Any predictor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acting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signal is realized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’s signal by the composite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G</m:t>
        </m:r>
      </m:oMath>
      <w:r>
        <w:t xml:space="preserve">, which lies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by the closure hypothesis. Therefore the best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-predictor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attains at least the</w:t>
      </w:r>
      <w:r>
        <w:t xml:space="preserve"> </w:t>
      </w:r>
      <w:r>
        <w:t xml:space="preserve">predictive accuracy of the best under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so its expected predictive risk is no larger; the</w:t>
      </w:r>
      <w:r>
        <w:t xml:space="preserve"> </w:t>
      </w:r>
      <w:r>
        <w:t xml:space="preserve">risk-reduction relative to the common null signal is thus at least as large under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 The</w:t>
      </w:r>
      <w:r>
        <w:t xml:space="preserve"> </w:t>
      </w:r>
      <w:r>
        <w:t xml:space="preserve">scalarity is immediate: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scr m:val="script"/>
                <m:sty m:val="p"/>
              </m:rPr>
              <m:t>V</m:t>
            </m:r>
          </m:sub>
        </m:sSub>
      </m:oMath>
      <w:r>
        <w:t xml:space="preserve"> </w:t>
      </w:r>
      <w:r>
        <w:t xml:space="preserve">returns a single real number per source, so it induces one</w:t>
      </w:r>
      <w:r>
        <w:t xml:space="preserve"> </w:t>
      </w:r>
      <w:r>
        <w:t xml:space="preserve">task-independent total preorder and, by Theorem 2, cannot rank a</w:t>
      </w:r>
      <w:r>
        <w:t xml:space="preserve"> </w:t>
      </w:r>
      <w:r>
        <w:t xml:space="preserve">Blackwell-incomparable pair faithfully on all tasks. ◻</w:t>
      </w:r>
    </w:p>
    <w:bookmarkEnd w:id="129"/>
    <w:bookmarkStart w:id="130" w:name="proof-of-proposition-3"/>
    <w:p>
      <w:pPr>
        <w:pStyle w:val="Heading2"/>
      </w:pPr>
      <w:r>
        <w:t xml:space="preserve">Proof of Proposition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event that all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Clopper–Pearson intervals contain their true proportions.</w:t>
      </w:r>
      <w:r>
        <w:t xml:space="preserve"> </w:t>
      </w:r>
      <w:r>
        <w:t xml:space="preserve">Each interval fails with probability at most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(exact coverage of</w:t>
      </w:r>
      <w:r>
        <w:t xml:space="preserve"> </w:t>
      </w:r>
      <w:r>
        <w:t xml:space="preserve">Clopper–Pearson </w:t>
      </w:r>
      <w:r>
        <w:t xml:space="preserve">(Clopper and Pearson 1934)</w:t>
      </w:r>
      <w:r>
        <w:t xml:space="preserve">),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c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α</m:t>
        </m:r>
        <m:r>
          <m:rPr>
            <m:sty m:val="p"/>
          </m:rPr>
          <m:t>=</m:t>
        </m:r>
        <m:r>
          <m:t>η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</w:t>
      </w:r>
      <w:r>
        <w:t xml:space="preserve"> </w:t>
      </w:r>
      <m:oMath>
        <m:r>
          <m:t>E</m:t>
        </m:r>
      </m:oMath>
      <w:r>
        <w:t xml:space="preserve">,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have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; taking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on both</w:t>
      </w:r>
      <w:r>
        <w:t xml:space="preserve"> </w:t>
      </w:r>
      <w:r>
        <w:t xml:space="preserve">sides,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T</m:t>
            </m:r>
          </m:sub>
        </m:sSub>
        <m:r>
          <m:rPr>
            <m:sty m:val="p"/>
          </m:rPr>
          <m:t>[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 Thus on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(probability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) the</w:t>
      </w:r>
      <w:r>
        <w:t xml:space="preserve"> </w:t>
      </w:r>
      <w:r>
        <w:t xml:space="preserve">true sup is at least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 which is the claimed lower confidence bound; if it is positive,</w:t>
      </w:r>
      <w:r>
        <w:t xml:space="preserve"> </w:t>
      </w:r>
      <w:r>
        <w:t xml:space="preserve">the true sup is positive, verifying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The reverse direction uses</w:t>
      </w:r>
      <w:r>
        <w:t xml:space="preserve"> </w:t>
      </w:r>
      <m:oMath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which are endpoints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intervals already</w:t>
      </w:r>
      <w:r>
        <w:t xml:space="preserve"> </w:t>
      </w:r>
      <w:r>
        <w:t xml:space="preserve">included in</w:t>
      </w:r>
      <w:r>
        <w:t xml:space="preserve"> </w:t>
      </w:r>
      <m:oMath>
        <m:r>
          <m:t>E</m:t>
        </m:r>
      </m:oMath>
      <w:r>
        <w:t xml:space="preserve">; therefore both one-sided verifications are valid on the single event</w:t>
      </w:r>
      <w:r>
        <w:t xml:space="preserve"> </w:t>
      </w:r>
      <m:oMath>
        <m:r>
          <m:t>E</m:t>
        </m:r>
      </m:oMath>
      <w:r>
        <w:t xml:space="preserve">, and their</w:t>
      </w:r>
      <w:r>
        <w:t xml:space="preserve"> </w:t>
      </w:r>
      <w:r>
        <w:t xml:space="preserve">conjunction holds at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without a further Bonferroni factor. ◻</w:t>
      </w:r>
    </w:p>
    <w:bookmarkEnd w:id="130"/>
    <w:bookmarkStart w:id="131" w:name="proof-of-proposition-4"/>
    <w:p>
      <w:pPr>
        <w:pStyle w:val="Heading2"/>
      </w:pPr>
      <w:r>
        <w:t xml:space="preserve">Proof of Proposition 4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Only two quantities enter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: an upper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 a lower endpoint on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The two arms are independent Bernoulli samples</w:t>
      </w:r>
      <w:r>
        <w:t xml:space="preserve"> </w:t>
      </w:r>
      <w:r>
        <w:t xml:space="preserve">(separate completions). Let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be 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sSub>
          <m:e>
            <m:r>
              <m:t>U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t xml:space="preserve">the event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</m:oMath>
      <w:r>
        <w:t xml:space="preserve">. By the exact one-sided coverage of</w:t>
      </w:r>
      <w:r>
        <w:t xml:space="preserve"> </w:t>
      </w:r>
      <w:r>
        <w:t xml:space="preserve">Clopper–Pearson at noncoverage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per endpoint,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  <m:sup>
            <m:r>
              <m:t>c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≤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, so by the union bound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∩</m:t>
        </m:r>
        <m:sSub>
          <m:e>
            <m:r>
              <m:t>E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On that event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U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</m:e>
              </m:bar>
            </m:e>
            <m:sub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claim; if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Δ</m:t>
                </m:r>
              </m:e>
            </m:ba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τ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. Note that the budget is spent on exactly the two endpoints used: a</w:t>
      </w:r>
      <w:r>
        <w:t xml:space="preserve"> </w:t>
      </w:r>
      <w:r>
        <w:t xml:space="preserve">two-sided interval at 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would place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in each tail, leave two endpoints</w:t>
      </w:r>
      <w:r>
        <w:t xml:space="preserve"> </w:t>
      </w:r>
      <w:r>
        <w:t xml:space="preserve">unused, and deliver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while widening the bound, which is why the allocation is stated</w:t>
      </w:r>
      <w:r>
        <w:t xml:space="preserve"> </w:t>
      </w:r>
      <w:r>
        <w:t xml:space="preserve">per endpoint rather than per interval. For a post-hoc selected cell, replacing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and union-bounding over the</w:t>
      </w:r>
      <w:r>
        <w:t xml:space="preserve"> </w:t>
      </w:r>
      <m:oMath>
        <m:r>
          <m:t>2</m:t>
        </m:r>
        <m:r>
          <m:rPr>
            <m:sty m:val="p"/>
          </m:rPr>
          <m:t>|</m:t>
        </m:r>
        <m:r>
          <m:rPr>
            <m:scr m:val="script"/>
            <m:sty m:val="p"/>
          </m:rPr>
          <m:t>D</m:t>
        </m:r>
        <m:r>
          <m:rPr>
            <m:sty m:val="p"/>
          </m:rPr>
          <m:t>|</m:t>
        </m:r>
      </m:oMath>
      <w:r>
        <w:t xml:space="preserve"> </w:t>
      </w:r>
      <w:r>
        <w:t xml:space="preserve">endpoints preserves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η</m:t>
        </m:r>
      </m:oMath>
      <w:r>
        <w:t xml:space="preserve"> </w:t>
      </w:r>
      <w:r>
        <w:t xml:space="preserve">simultaneous coverage. ◻</w:t>
      </w:r>
    </w:p>
    <w:bookmarkEnd w:id="131"/>
    <w:bookmarkStart w:id="132" w:name="proof-of-theorem-3"/>
    <w:p>
      <w:pPr>
        <w:pStyle w:val="Heading2"/>
      </w:pPr>
      <w:r>
        <w:t xml:space="preserve">Proof of Theorem 3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sSub>
          <m:e>
            <m:r>
              <m:rPr>
                <m:sty m:val="p"/>
              </m:rPr>
              <m:t>≽</m:t>
            </m:r>
          </m:e>
          <m:sub>
            <m:r>
              <m:t>B</m:t>
            </m:r>
          </m:sub>
        </m:sSub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deletion of the extra coordinate (a deterministic garbling,</w:t>
      </w:r>
      <w:r>
        <w:t xml:space="preserve"> </w:t>
      </w:r>
      <w:r>
        <w:t xml:space="preserve">Lemma 1(a)); write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that deletion, so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+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κ</m:t>
            </m:r>
          </m:e>
          <m:sub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state</w:t>
      </w:r>
      <w:r>
        <w:t xml:space="preserve"> </w:t>
      </w:r>
      <m:oMath>
        <m:r>
          <m:t>s</m:t>
        </m:r>
      </m:oMath>
      <w:r>
        <w:t xml:space="preserve">. The rule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then 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in the sense of the theorem, and its</w:t>
      </w:r>
      <w:r>
        <w:t xml:space="preserve"> </w:t>
      </w:r>
      <w:r>
        <w:t xml:space="preserve">realized pass rate 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 the realized state, since the two</w:t>
      </w:r>
      <w:r>
        <w:t xml:space="preserve"> </w:t>
      </w:r>
      <w:r>
        <w:t xml:space="preserve">rules see the same signal law. The hypothesis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therefore says that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strictly beaten by its own pruned version on the same input, so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Blackwell-coherent on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. Note what this argument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use: it is the</w:t>
      </w:r>
      <w:r>
        <w:t xml:space="preserve"> </w:t>
      </w:r>
      <w:r>
        <w:t xml:space="preserve">simulation construction behind</w:t>
      </w:r>
      <w:r>
        <w:t xml:space="preserve"> </w:t>
      </w:r>
      <w:r>
        <w:t xml:space="preserve">(i)</w:t>
      </w:r>
      <m:oMath>
        <m:r>
          <m:rPr>
            <m:sty m:val="p"/>
          </m:rPr>
          <m:t>⇒</m:t>
        </m:r>
      </m:oMath>
      <w:r>
        <w:t xml:space="preserve">(ii)</w:t>
      </w:r>
      <w:r>
        <w:t xml:space="preserve"> </w:t>
      </w:r>
      <w:r>
        <w:t xml:space="preserve">of</w:t>
      </w:r>
      <w:r>
        <w:t xml:space="preserve"> </w:t>
      </w:r>
      <w:r>
        <w:t xml:space="preserve">Theorem 1 applied state-conditionally, not an instance of statement</w:t>
      </w:r>
      <w:r>
        <w:t xml:space="preserve"> </w:t>
      </w:r>
      <w:r>
        <w:t xml:space="preserve">(ii)</w:t>
      </w:r>
      <w:r>
        <w:t xml:space="preserve">, which is Bayes-averaged and so says nothing about a single state</w:t>
      </w:r>
      <w:r>
        <w:t xml:space="preserve"> </w:t>
      </w:r>
      <w:r>
        <w:t xml:space="preserve">(Remark 1). A monotone scalar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assigns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ϕ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(monotonicity), hence orders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above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cannot reproduce</w:t>
      </w:r>
      <w:r>
        <w:t xml:space="preserve"> </w:t>
      </w:r>
      <w:r>
        <w:t xml:space="preserve">the realized reversal. ◻</w:t>
      </w:r>
    </w:p>
    <w:bookmarkEnd w:id="132"/>
    <w:bookmarkStart w:id="134" w:name="relation-to-llm-evaluation-statistics"/>
    <w:p>
      <w:pPr>
        <w:pStyle w:val="Heading2"/>
      </w:pPr>
      <w:r>
        <w:t xml:space="preserve">Relation to LLM-evaluation statistics</w:t>
      </w:r>
    </w:p>
    <w:bookmarkStart w:id="133" w:name="rem:evalstats"/>
    <w:p>
      <w:pPr>
        <w:pStyle w:val="FirstParagraph"/>
      </w:pPr>
      <w:r>
        <w:rPr>
          <w:i/>
          <w:iCs/>
        </w:rPr>
        <w:t xml:space="preserve">Remark 10</w:t>
      </w:r>
      <w:r>
        <w:t xml:space="preserve"> </w:t>
      </w:r>
      <w:r>
        <w:t xml:space="preserve">(Relation to LLM-evaluation statistics).</w:t>
      </w:r>
      <w:r>
        <w:t xml:space="preserve"> </w:t>
      </w:r>
      <w:r>
        <w:t xml:space="preserve"> </w:t>
      </w:r>
      <w:r>
        <w:t xml:space="preserve">The verification sits in a small but growing statistical-methodology literature for black-box</w:t>
      </w:r>
      <w:r>
        <w:t xml:space="preserve"> </w:t>
      </w:r>
      <w:r>
        <w:t xml:space="preserve">model evaluation: paired-difference designs and clustered standard errors for</w:t>
      </w:r>
      <w:r>
        <w:t xml:space="preserve"> </w:t>
      </w:r>
      <w:r>
        <w:t xml:space="preserve">evals </w:t>
      </w:r>
      <w:r>
        <w:t xml:space="preserve">(Miller 2024)</w:t>
      </w:r>
      <w:r>
        <w:t xml:space="preserve">, two-sample tests verifying behavioral differences between</w:t>
      </w:r>
      <w:r>
        <w:t xml:space="preserve"> </w:t>
      </w:r>
      <w:r>
        <w:t xml:space="preserve">API-served models </w:t>
      </w:r>
      <w:r>
        <w:t xml:space="preserve">(Gao et al. 2025)</w:t>
      </w:r>
      <w:r>
        <w:t xml:space="preserve">, and the recommendation to prefer exact</w:t>
      </w:r>
      <w:r>
        <w:t xml:space="preserve"> </w:t>
      </w:r>
      <w:r>
        <w:t xml:space="preserve">frequentist intervals over CLT approximations when per-cell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below a few</w:t>
      </w:r>
      <w:r>
        <w:t xml:space="preserve"> </w:t>
      </w:r>
      <w:r>
        <w:t xml:space="preserve">hundred </w:t>
      </w:r>
      <w:r>
        <w:t xml:space="preserve">(Bowyer et al. 2025)</w:t>
      </w:r>
      <w:r>
        <w:t xml:space="preserve">, which is precisely our regime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20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]</m:t>
        </m:r>
      </m:oMath>
      <w:r>
        <w:t xml:space="preserve"> </w:t>
      </w:r>
      <w:r>
        <w:t xml:space="preserve">per cell) and</w:t>
      </w:r>
      <w:r>
        <w:t xml:space="preserve"> </w:t>
      </w:r>
      <w:r>
        <w:t xml:space="preserve">precisely what the exact Clopper–Pearson construction provides.</w:t>
      </w:r>
    </w:p>
    <w:bookmarkEnd w:id="133"/>
    <w:bookmarkEnd w:id="134"/>
    <w:bookmarkStart w:id="135" w:name="subsec:power"/>
    <w:p>
      <w:pPr>
        <w:pStyle w:val="Heading2"/>
      </w:pPr>
      <w:r>
        <w:t xml:space="preserve">Power and the role of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t xml:space="preserve">Both verifications are driven by how close the arms sit to an endpoint. For a stark cell with</w:t>
      </w:r>
      <w:r>
        <w:t xml:space="preserve"> </w:t>
      </w:r>
      <w:r>
        <w:t xml:space="preserve">empirical proportion at an endpoint (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) the Clopper–Pearson interval becomes</w:t>
      </w:r>
      <w:r>
        <w:t xml:space="preserve"> </w:t>
      </w:r>
      <w:r>
        <w:t xml:space="preserve">one-sided and clears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even at small</w:t>
      </w:r>
      <w:r>
        <w:t xml:space="preserve"> </w:t>
      </w:r>
      <m:oMath>
        <m:r>
          <m:t>n</m:t>
        </m:r>
      </m:oMath>
      <w:r>
        <w:t xml:space="preserve">. It does not become a point: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and two-sided</w:t>
      </w:r>
      <w:r>
        <w:t xml:space="preserve"> </w:t>
      </w:r>
      <w:r>
        <w:t xml:space="preserve">level</w:t>
      </w:r>
      <w:r>
        <w:t xml:space="preserve"> </w:t>
      </w:r>
      <m:oMath>
        <m:r>
          <m:t>η</m:t>
        </m:r>
        <m:r>
          <m:rPr>
            <m:sty m:val="p"/>
          </m:rPr>
          <m:t>/</m:t>
        </m:r>
        <m:r>
          <m:t>8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0.119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[</m:t>
        </m:r>
        <m:r>
          <m:t>0.881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, and it is that</w:t>
      </w:r>
      <w:r>
        <w:t xml:space="preserve"> </w:t>
      </w:r>
      <m:oMath>
        <m:r>
          <m:t>0.119</m:t>
        </m:r>
      </m:oMath>
      <w:r>
        <w:t xml:space="preserve"> </w:t>
      </w:r>
      <w:r>
        <w:t xml:space="preserve">the crossing has to beat. The incomparability verification</w:t>
      </w:r>
      <w:r>
        <w:t xml:space="preserve"> </w:t>
      </w:r>
      <w:r>
        <w:t xml:space="preserve">(6) is carried by exactly such cells (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≈</m:t>
        </m:r>
        <m:r>
          <m:t>100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and vice</w:t>
      </w:r>
      <w:r>
        <w:t xml:space="preserve"> </w:t>
      </w:r>
      <w:r>
        <w:t xml:space="preserve">versa). The harm contrast (8) needs the gap between two arms to exceed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after both intervals are paid for, and a negative point estimate need not verify either the sign</w:t>
      </w:r>
      <w:r>
        <w:t xml:space="preserve"> </w:t>
      </w:r>
      <w:r>
        <w:t xml:space="preserve">of the harm or the margin. On the second source pair’s trap cell PASS moves from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, but the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difference is</w:t>
      </w:r>
      <w:r>
        <w:t xml:space="preserve"> </w:t>
      </w:r>
      <m:oMath>
        <m:r>
          <m:rPr>
            <m:sty m:val="p"/>
          </m:rPr>
          <m:t>+</m:t>
        </m:r>
        <m:r>
          <m:t>0.188345</m:t>
        </m:r>
      </m:oMath>
      <w:r>
        <w:t xml:space="preserve">: neither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nor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0.30</m:t>
        </m:r>
      </m:oMath>
      <w:r>
        <w:t xml:space="preserve"> </w:t>
      </w:r>
      <w:r>
        <w:t xml:space="preserve">is verified by that contrast.</w:t>
      </w:r>
    </w:p>
    <w:bookmarkEnd w:id="135"/>
    <w:bookmarkEnd w:id="136"/>
    <w:bookmarkStart w:id="142" w:name="app:record"/>
    <w:p>
      <w:pPr>
        <w:pStyle w:val="Heading1"/>
      </w:pPr>
      <w:r>
        <w:t xml:space="preserve">Extended experimental record</w:t>
      </w:r>
    </w:p>
    <w:bookmarkStart w:id="141" w:name="generality-and-controls-full-protocols"/>
    <w:p>
      <w:pPr>
        <w:pStyle w:val="Heading2"/>
      </w:pPr>
      <w:r>
        <w:t xml:space="preserve">Generality and controls: full protocols</w:t>
      </w:r>
    </w:p>
    <w:p>
      <w:pPr>
        <w:pStyle w:val="FirstParagraph"/>
      </w:pPr>
      <w:r>
        <w:t xml:space="preserve">Four follow-up experiments address three threat axes: source-pair generality, the context-length</w:t>
      </w:r>
      <w:r>
        <w:t xml:space="preserve"> </w:t>
      </w:r>
      <w:r>
        <w:t xml:space="preserve">confound, and whether the anti-monotonicity collapse is curable by cheap prompting.</w:t>
      </w:r>
    </w:p>
    <w:p>
      <w:pPr>
        <w:pStyle w:val="BodyText"/>
      </w:pPr>
      <w:r>
        <w:rPr>
          <w:i/>
          <w:iCs/>
        </w:rPr>
        <w:t xml:space="preserve">How the bounds below are to be read.</w:t>
      </w:r>
      <w:r>
        <w:t xml:space="preserve"> </w:t>
      </w:r>
      <w:r>
        <w:t xml:space="preserve">A bound on a two-arm difference is assembled from the</w:t>
      </w:r>
      <w:r>
        <w:t xml:space="preserve"> </w:t>
      </w:r>
      <w:r>
        <w:t xml:space="preserve">two proportions’ exact intervals. Each endpoint quoted here is a</w:t>
      </w:r>
      <w:r>
        <w:t xml:space="preserve"> </w:t>
      </w:r>
      <w:r>
        <w:rPr>
          <w:i/>
          <w:iCs/>
        </w:rPr>
        <w:t xml:space="preserve">separate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bound, which is the form Proposition 4 uses and the form in which each harm</w:t>
      </w:r>
      <w:r>
        <w:t xml:space="preserve"> </w:t>
      </w:r>
      <w:r>
        <w:t xml:space="preserve">claim is made; the two endpoints together carry only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joint coverage, so where a two-sided</w:t>
      </w:r>
      <w:r>
        <w:t xml:space="preserve"> </w:t>
      </w:r>
      <w:r>
        <w:t xml:space="preserve">statement is wanted we assemble it from individual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Clopper–Pearson regions and say so.</w:t>
      </w:r>
      <w:r>
        <w:t xml:space="preserve"> </w:t>
      </w:r>
      <w:r>
        <w:t xml:space="preserve">Endpoints are printed rather than rounded, because rounding the non-claimed end of an interval</w:t>
      </w:r>
      <w:r>
        <w:t xml:space="preserve"> </w:t>
      </w:r>
      <w:r>
        <w:t xml:space="preserve">inward strengthens it.</w:t>
      </w:r>
    </w:p>
    <w:bookmarkStart w:id="137" w:name="Xfd2ce319a26faa67e0eadf0fee657d728019446"/>
    <w:p>
      <w:pPr>
        <w:pStyle w:val="Heading4"/>
      </w:pPr>
      <w:r>
        <w:t xml:space="preserve">A second incomparable pair, different domain.</w:t>
      </w:r>
    </w:p>
    <w:p>
      <w:pPr>
        <w:pStyle w:val="FirstParagraph"/>
      </w:pPr>
      <w:r>
        <w:t xml:space="preserve">We repeated the protocol with a second hand-built pair on a private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module: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cache.put(key, value, *, ttl)</w:t>
      </w:r>
      <w:r>
        <w:t xml:space="preserve"> </w:t>
      </w:r>
      <w:r>
        <w:t xml:space="preserve">call contract (argument order, required keyword-only</w:t>
      </w:r>
      <w:r>
        <w:t xml:space="preserve"> </w:t>
      </w:r>
      <w:r>
        <w:rPr>
          <w:rStyle w:val="VerbatimChar"/>
        </w:rPr>
        <w:t xml:space="preserve">ttl</w:t>
      </w:r>
      <w:r>
        <w:t xml:space="preserve">, a True/False</w:t>
      </w:r>
      <w:r>
        <w:t xml:space="preserve"> </w:t>
      </w:r>
      <w:r>
        <w:t xml:space="preserve">“newly inserted”</w:t>
      </w:r>
      <w:r>
        <w:t xml:space="preserve"> </w:t>
      </w:r>
      <w:r>
        <w:t xml:space="preserve">flag, a</w:t>
      </w:r>
      <w:r>
        <w:t xml:space="preserve"> </w:t>
      </w:r>
      <w:r>
        <w:rPr>
          <w:rStyle w:val="VerbatimChar"/>
        </w:rPr>
        <w:t xml:space="preserve">CacheError</w:t>
      </w:r>
      <w:r>
        <w:t xml:space="preserve"> </w:t>
      </w:r>
      <w:r>
        <w:t xml:space="preserve">type), versus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key-normalization invariant (a fixed</w:t>
      </w:r>
      <w:r>
        <w:t xml:space="preserve"> </w:t>
      </w:r>
      <w:r>
        <w:rPr>
          <w:rStyle w:val="VerbatimChar"/>
        </w:rPr>
        <w:t xml:space="preserve">kx7-</w:t>
      </w:r>
      <w:r>
        <w:t xml:space="preserve"> </w:t>
      </w:r>
      <w:r>
        <w:t xml:space="preserve">namespace prefix and an underscore rule). On Haiku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pair is again verified incomparable (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0.728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0.586</m:t>
        </m:r>
      </m:oMath>
      <w:r>
        <w:t xml:space="preserve">, both directions clear</w:t>
      </w:r>
      <w:r>
        <w:t xml:space="preserve"> </w:t>
      </w:r>
      <w:r>
        <w:t xml:space="preserve">of zero) with a clean double crossover (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solves the contract and trap cells,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w:r>
        <w:t xml:space="preserve">key-normalization, all none-baselines floor at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). Anti-monotonicity reproduces as a verified</w:t>
      </w:r>
      <w:r>
        <w:t xml:space="preserve"> </w:t>
      </w:r>
      <w:r>
        <w:t xml:space="preserve">collapse on the contract cell: the superset takes</w:t>
      </w:r>
      <w:r>
        <w:t xml:space="preserve"> </w:t>
      </w:r>
      <w:r>
        <w:rPr>
          <w:rStyle w:val="VerbatimChar"/>
        </w:rPr>
        <w:t xml:space="preserve">cache_put_ok</w:t>
      </w:r>
      <w:r>
        <w:t xml:space="preserve"> </w:t>
      </w:r>
      <w:r>
        <w:t xml:space="preserve">from</w:t>
      </w:r>
      <w:r>
        <w:t xml:space="preserve"> </w:t>
      </w:r>
      <m:oMath>
        <m:r>
          <m:t>35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0.87</m:t>
        </m:r>
      </m:oMath>
      <w:r>
        <w:t xml:space="preserve"> </w:t>
      </w:r>
      <w:r>
        <w:t xml:space="preserve">with an upper bound of</w:t>
      </w:r>
      <w:r>
        <w:t xml:space="preserve"> </w:t>
      </w:r>
      <m:oMath>
        <m:r>
          <m:rPr>
            <m:sty m:val="p"/>
          </m:rPr>
          <m:t>−</m:t>
        </m:r>
        <m:r>
          <m:t>0.62</m:t>
        </m:r>
      </m:oMath>
      <w:r>
        <w:t xml:space="preserve"> </w:t>
      </w:r>
      <w:r>
        <w:t xml:space="preserve">once the budget is spread over the pair’s three</w:t>
      </w:r>
      <w:r>
        <w:t xml:space="preserve"> </w:t>
      </w:r>
      <w:r>
        <w:t xml:space="preserve">contrasts, clearing the margin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0.30</m:t>
        </m:r>
      </m:oMath>
      <w:r>
        <w:t xml:space="preserve"> </w:t>
      </w:r>
      <w:r>
        <w:t xml:space="preserve">fixed for the whole programme. The other two cells do</w:t>
      </w:r>
      <w:r>
        <w:t xml:space="preserve"> </w:t>
      </w:r>
      <w:r>
        <w:t xml:space="preserve">not: the superset lifts key-normalization from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 and on the trap cell it moves</w:t>
      </w:r>
      <w:r>
        <w:t xml:space="preserve"> </w:t>
      </w:r>
      <m:oMath>
        <m:r>
          <m:t>29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26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0.075</m:t>
        </m:r>
      </m:oMath>
      <w:r>
        <w:t xml:space="preserve">,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bounds</w:t>
      </w:r>
      <w:r>
        <w:t xml:space="preserve"> </w:t>
      </w:r>
      <m:oMath>
        <m:r>
          <m:rPr>
            <m:sty m:val="p"/>
          </m:rPr>
          <m:t>−</m:t>
        </m:r>
        <m:r>
          <m:t>0.3294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0.1883</m:t>
        </m:r>
      </m:oMath>
      <w:r>
        <w:t xml:space="preserve">. The upper</w:t>
      </w:r>
      <w:r>
        <w:t xml:space="preserve"> </w:t>
      </w:r>
      <w:r>
        <w:t xml:space="preserve">bound is positive, so this contrast verifies neither the sign of the harm nor the margin. The</w:t>
      </w:r>
      <w:r>
        <w:t xml:space="preserve"> </w:t>
      </w:r>
      <w:r>
        <w:t xml:space="preserve">dominance control on the same run returns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0.113</m:t>
        </m:r>
      </m:oMath>
      <w:r>
        <w:t xml:space="preserve">, inside the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tolerance, with a strict win the other way (</w:t>
      </w:r>
      <m:oMath>
        <m:r>
          <m:t>0.65</m:t>
        </m:r>
      </m:oMath>
      <w:r>
        <w:t xml:space="preserve">), so it covers the three-cell battery rather</w:t>
      </w:r>
      <w:r>
        <w:t xml:space="preserve"> </w:t>
      </w:r>
      <w:r>
        <w:t xml:space="preserve">than a single cell. The relevance trap for this pair was a null, its prompt vocabulary leaning</w:t>
      </w:r>
      <w:r>
        <w:t xml:space="preserve"> </w:t>
      </w:r>
      <w:r>
        <w:t xml:space="preserve">toward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0.39</m:t>
        </m:r>
        <m:r>
          <m:rPr>
            <m:sty m:val="p"/>
          </m:rPr>
          <m:t>&gt;</m:t>
        </m:r>
        <m:sSub>
          <m:e>
            <m:r>
              <m:t>φ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on the trap</w:t>
      </w:r>
      <w:r>
        <w:t xml:space="preserve"> </w:t>
      </w:r>
      <w:r>
        <w:t xml:space="preserve">prompt), so relevance</w:t>
      </w:r>
      <w:r>
        <w:t xml:space="preserve"> </w:t>
      </w:r>
      <w:r>
        <w:rPr>
          <w:i/>
          <w:iCs/>
        </w:rPr>
        <w:t xml:space="preserve">agreed</w:t>
      </w:r>
      <w:r>
        <w:t xml:space="preserve"> </w:t>
      </w:r>
      <w:r>
        <w:t xml:space="preserve">with PASS and</w:t>
      </w:r>
      <w:r>
        <w:t xml:space="preserve"> </w:t>
      </w:r>
      <w:r>
        <w:t xml:space="preserve">the strong mis-rank remains a pair-1 result. The contribution of the second pair is therefore</w:t>
      </w:r>
      <w:r>
        <w:t xml:space="preserve"> </w:t>
      </w:r>
      <w:r>
        <w:rPr>
          <w:i/>
          <w:iCs/>
        </w:rPr>
        <w:t xml:space="preserve">generality of the incomparability, dominance and collapse results to a new domain</w:t>
      </w:r>
      <w:r>
        <w:t xml:space="preserve">, not a</w:t>
      </w:r>
      <w:r>
        <w:t xml:space="preserve"> </w:t>
      </w:r>
      <w:r>
        <w:t xml:space="preserve">second mis-rank.</w:t>
      </w:r>
    </w:p>
    <w:bookmarkEnd w:id="137"/>
    <w:bookmarkStart w:id="138" w:name="a-character-matched-padding-control."/>
    <w:p>
      <w:pPr>
        <w:pStyle w:val="Heading4"/>
      </w:pPr>
      <w:r>
        <w:t xml:space="preserve">A character-matched padding control.</w:t>
      </w:r>
    </w:p>
    <w:p>
      <w:pPr>
        <w:pStyle w:val="FirstParagraph"/>
      </w:pPr>
      <w:r>
        <w:t xml:space="preserve">Anti-monotonicity compares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against the strictly longer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and added input length alone</w:t>
      </w:r>
      <w:r>
        <w:t xml:space="preserve"> </w:t>
      </w:r>
      <w:r>
        <w:t xml:space="preserve">is known to degrade performance </w:t>
      </w:r>
      <w:r>
        <w:t xml:space="preserve">(Du et al. 2025)</w:t>
      </w:r>
      <w:r>
        <w:t xml:space="preserve">, so the collapse could in principle be a</w:t>
      </w:r>
      <w:r>
        <w:t xml:space="preserve"> </w:t>
      </w:r>
      <w:r>
        <w:t xml:space="preserve">token-count effect rather than a signal effect. To isolate this we added a padding arm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: filler text in the same</w:t>
      </w:r>
      <w:r>
        <w:t xml:space="preserve"> </w:t>
      </w:r>
      <w:r>
        <w:t xml:space="preserve">“team context (private)”</w:t>
      </w:r>
      <w:r>
        <w:t xml:space="preserve"> </w:t>
      </w:r>
      <w:r>
        <w:t xml:space="preserve">register as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placed in</w:t>
      </w:r>
      <w:r>
        <w:t xml:space="preserve"> </w:t>
      </w:r>
      <w:r>
        <w:t xml:space="preserve">the same position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occupies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(padding first,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last), character-matched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characters, but carrying no coordinate any verifier checks (office-logistics</w:t>
      </w:r>
      <w:r>
        <w:t xml:space="preserve"> </w:t>
      </w:r>
      <w:r>
        <w:t xml:space="preserve">content).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on the two collapse cells, padding is free while the</w:t>
      </w:r>
      <w:r>
        <w:t xml:space="preserve"> </w:t>
      </w:r>
      <w:r>
        <w:t xml:space="preserve">equal-length dominated signal is catastrophic: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;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. The padded arm is never verified 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0.225</m:t>
        </m:r>
      </m:oMath>
      <w:r>
        <w:t xml:space="preserve"> </w:t>
      </w:r>
      <w:r>
        <w:t xml:space="preserve">with a two-sided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0.0203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0.3845</m:t>
        </m:r>
        <m:r>
          <m:rPr>
            <m:sty m:val="p"/>
          </m:rPr>
          <m:t>]</m:t>
        </m:r>
      </m:oMath>
      <w:r>
        <w:t xml:space="preserve">, clear of zero,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0.025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0.0875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0.1316</m:t>
        </m:r>
        <m:r>
          <m:rPr>
            <m:sty m:val="p"/>
          </m:rPr>
          <m:t>]</m:t>
        </m:r>
      </m:oMath>
      <w:r>
        <w:t xml:space="preserve">, consistent with no difference. Against the superset the same-run harm</w:t>
      </w:r>
      <w:r>
        <w:t xml:space="preserve"> </w:t>
      </w:r>
      <w:r>
        <w:t xml:space="preserve">verification clears on both cells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0.775</m:t>
        </m:r>
      </m:oMath>
      <w:r>
        <w:t xml:space="preserve">,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</w:t>
      </w:r>
      <w:r>
        <w:t xml:space="preserve"> </w:t>
      </w:r>
      <m:oMath>
        <m:r>
          <m:rPr>
            <m:sty m:val="p"/>
          </m:rPr>
          <m:t>−</m:t>
        </m:r>
        <m:r>
          <m:t>0.5681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0.975</m:t>
        </m:r>
      </m:oMath>
      <w:r>
        <w:t xml:space="preserve">, upper bound</w:t>
      </w:r>
      <w:r>
        <w:t xml:space="preserve"> </w:t>
      </w:r>
      <m:oMath>
        <m:r>
          <m:rPr>
            <m:sty m:val="p"/>
          </m:rPr>
          <m:t>−</m:t>
        </m:r>
        <m:r>
          <m:t>0.8147</m:t>
        </m:r>
      </m:oMath>
      <w:r>
        <w:t xml:space="preserve">). In the tested configuration the</w:t>
      </w:r>
      <w:r>
        <w:t xml:space="preserve"> </w:t>
      </w:r>
      <w:r>
        <w:t xml:space="preserve">collapse therefore does not follow from added length alone. The match is by characters, not</w:t>
      </w:r>
      <w:r>
        <w:t xml:space="preserve"> </w:t>
      </w:r>
      <w:r>
        <w:t xml:space="preserve">subword tokens, and the filler is plain prose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symbol-dense, so gross length is</w:t>
      </w:r>
      <w:r>
        <w:t xml:space="preserve"> </w:t>
      </w:r>
      <w:r>
        <w:t xml:space="preserve">constrained but token count and processing difficulty are not. One residual axis is not</w:t>
      </w:r>
      <w:r>
        <w:t xml:space="preserve"> </w:t>
      </w:r>
      <w:r>
        <w:t xml:space="preserve">isolated by this control: the padding is off-topic for the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while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on-topic, so</w:t>
      </w:r>
      <w:r>
        <w:t xml:space="preserve"> </w:t>
      </w:r>
      <w:r>
        <w:t xml:space="preserve">“topical but verifier-irrelevant”</w:t>
      </w:r>
      <w:r>
        <w:t xml:space="preserve"> </w:t>
      </w:r>
      <w:r>
        <w:t xml:space="preserve">text remains a smaller,</w:t>
      </w:r>
      <w:r>
        <w:t xml:space="preserve"> </w:t>
      </w:r>
      <w:r>
        <w:t xml:space="preserve">untested middle case.</w:t>
      </w:r>
    </w:p>
    <w:bookmarkEnd w:id="138"/>
    <w:bookmarkStart w:id="139" w:name="Xd508a319e40f775fe4906e106ed6a92e07fd05b"/>
    <w:p>
      <w:pPr>
        <w:pStyle w:val="Heading4"/>
      </w:pPr>
      <w:r>
        <w:t xml:space="preserve">A routing-instruction ablation: the cure presupposes the diagnosis.</w:t>
      </w:r>
    </w:p>
    <w:p>
      <w:pPr>
        <w:pStyle w:val="FirstParagraph"/>
      </w:pPr>
      <w:r>
        <w:t xml:space="preserve">If the collapse reflects convention confusion, an explicit routing note might prevent it, and if a</w:t>
      </w:r>
      <w:r>
        <w:t xml:space="preserve"> </w:t>
      </w:r>
      <w:r>
        <w:t xml:space="preserve">one-line prompt fully cured the harm, its practical significance would shrink. We measured this</w:t>
      </w:r>
      <w:r>
        <w:t xml:space="preserve"> </w:t>
      </w:r>
      <w:r>
        <w:t xml:space="preserve">directly: 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p>
        </m:sSubSup>
      </m:oMath>
      <w:r>
        <w:t xml:space="preserve"> </w:t>
      </w:r>
      <w:r>
        <w:t xml:space="preserve">appends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 single routing sentence stating</w:t>
      </w:r>
      <w:r>
        <w:t xml:space="preserve"> </w:t>
      </w:r>
      <w:r>
        <w:t xml:space="preserve">which convention serves which task family (</w:t>
      </w:r>
      <w:r>
        <w:t xml:space="preserve">“for tasks that call the ledger API use only the API</w:t>
      </w:r>
      <w:r>
        <w:t xml:space="preserve"> </w:t>
      </w:r>
      <w:r>
        <w:t xml:space="preserve">call contract; the wire-encoding invariant applies only to encode/decode tasks”</w:t>
      </w:r>
      <w:r>
        <w:t xml:space="preserve">).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the instruction recovers most, but not all, of the collapse: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 and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; both</w:t>
      </w:r>
      <w:r>
        <w:t xml:space="preserve"> </w:t>
      </w:r>
      <w:r>
        <w:t xml:space="preserve">recoveries over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are large, with non-overlapping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 on the two</w:t>
      </w:r>
      <w:r>
        <w:t xml:space="preserve"> </w:t>
      </w:r>
      <w:r>
        <w:t xml:space="preserve">proportions. Against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the picture is cell-dependent and much weaker.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instructed superset scores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0.200</m:t>
        </m:r>
      </m:oMath>
      <w:r>
        <w:t xml:space="preserve">, with a one-sided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lower bound of</w:t>
      </w:r>
      <w:r>
        <w:t xml:space="preserve"> </w:t>
      </w:r>
      <m:oMath>
        <m:r>
          <m:rPr>
            <m:sty m:val="p"/>
          </m:rPr>
          <m:t>+</m:t>
        </m:r>
        <m:r>
          <m:t>0.0095</m:t>
        </m:r>
      </m:oMath>
      <w:r>
        <w:t xml:space="preserve">; that separate one-sided</w:t>
      </w:r>
      <w:r>
        <w:t xml:space="preserve"> </w:t>
      </w:r>
      <w:r>
        <w:t xml:space="preserve">statement clears zero, but the two-sided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assembled from individual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regions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0.0232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0.3839</m:t>
        </m:r>
        <m:r>
          <m:rPr>
            <m:sty m:val="p"/>
          </m:rPr>
          <m:t>]</m:t>
        </m:r>
      </m:oMath>
      <w:r>
        <w:t xml:space="preserve"> </w:t>
      </w:r>
      <w:r>
        <w:t xml:space="preserve">and does not. 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it scores</w:t>
      </w:r>
      <w:r>
        <w:t xml:space="preserve"> 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0.150</m:t>
        </m:r>
      </m:oMath>
      <w:r>
        <w:t xml:space="preserve">, one-sided bounds</w:t>
      </w:r>
      <w:r>
        <w:t xml:space="preserve"> </w:t>
      </w:r>
      <m:oMath>
        <m:r>
          <m:rPr>
            <m:sty m:val="p"/>
          </m:rPr>
          <m:t>−</m:t>
        </m:r>
        <m:r>
          <m:t>0.3024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0.0281</m:t>
        </m:r>
      </m:oMath>
      <w:r>
        <w:t xml:space="preserve">, so neither superiority nor</w:t>
      </w:r>
      <w:r>
        <w:t xml:space="preserve"> </w:t>
      </w:r>
      <w:r>
        <w:t xml:space="preserve">inferiority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verified. The record shows that the instruction removes the collapse; it</w:t>
      </w:r>
      <w:r>
        <w:t xml:space="preserve"> </w:t>
      </w:r>
      <w:r>
        <w:t xml:space="preserve">does not show whether the instructed superset matches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alone. We pre-commit to the two readings jointly. First, the harm is substantially mediated by</w:t>
      </w:r>
      <w:r>
        <w:t xml:space="preserve"> </w:t>
      </w:r>
      <w:r>
        <w:t xml:space="preserve">convention interference that explicit routing knowledge prevents, so pipelines that can attach</w:t>
      </w:r>
      <w:r>
        <w:t xml:space="preserve"> </w:t>
      </w:r>
      <w:r>
        <w:t xml:space="preserve">per-task routing labels have a cheap mitigation. Second, and decisively for the paper’s thesis:</w:t>
      </w:r>
      <w:r>
        <w:t xml:space="preserve"> </w:t>
      </w:r>
      <w:r>
        <w:rPr>
          <w:i/>
          <w:iCs/>
        </w:rPr>
        <w:t xml:space="preserve">writing the routing sentence requires already knowing which source is decisive for which</w:t>
      </w:r>
      <w:r>
        <w:rPr>
          <w:i/>
          <w:iCs/>
        </w:rPr>
        <w:t xml:space="preserve"> </w:t>
      </w:r>
      <w:r>
        <w:rPr>
          <w:i/>
          <w:iCs/>
        </w:rPr>
        <w:t xml:space="preserve">task family</w:t>
      </w:r>
      <w:r>
        <w:t xml:space="preserve">, which is precisely the coordinate structure the partial order formalizes and</w:t>
      </w:r>
      <w:r>
        <w:t xml:space="preserve"> </w:t>
      </w:r>
      <w:r>
        <w:t xml:space="preserve">the deficiency verification measures; the cure is an injection of selection-time coordinate knowledge</w:t>
      </w:r>
      <w:r>
        <w:t xml:space="preserve"> </w:t>
      </w:r>
      <w:r>
        <w:t xml:space="preserve">into the prompt, not a scalar score, and no query-independent scalar can supply it</w:t>
      </w:r>
      <w:r>
        <w:t xml:space="preserve"> </w:t>
      </w:r>
      <w:r>
        <w:t xml:space="preserve">(Theorem 2). Formally,</w:t>
      </w:r>
      <w: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the routing note is a</w:t>
      </w:r>
      <w:r>
        <w:t xml:space="preserve"> </w:t>
      </w:r>
      <w:r>
        <w:rPr>
          <w:i/>
          <w:iCs/>
        </w:rPr>
        <w:t xml:space="preserve">different, more Blackwell-coherent rule</w:t>
      </w:r>
      <w:r>
        <w:t xml:space="preserve">; the verified falsification of</w:t>
      </w:r>
      <w:r>
        <w:t xml:space="preserve"> </w:t>
      </w:r>
      <w:r>
        <w:t xml:space="preserve">Theorem 3 concerns the base rule and is unaffected. What the ablation does not</w:t>
      </w:r>
      <w:r>
        <w:t xml:space="preserve"> </w:t>
      </w:r>
      <w:r>
        <w:t xml:space="preserve">settle is the selection-level question under the instructed rule: the instructed superset sits</w:t>
      </w:r>
      <w:r>
        <w:t xml:space="preserve"> </w:t>
      </w:r>
      <w:r>
        <w:t xml:space="preserve">below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 one cell and above it on the other, so on this record keeping the dominated</w:t>
      </w:r>
      <w:r>
        <w:t xml:space="preserve"> </w:t>
      </w:r>
      <w:r>
        <w:t xml:space="preserve">signal is neither uniformly worse nor uniformly better than dropping it once routing knowledge is</w:t>
      </w:r>
      <w:r>
        <w:t xml:space="preserve"> </w:t>
      </w:r>
      <w:r>
        <w:t xml:space="preserve">supplied. What the record does support is narrower: without that knowledge, forcing the superset</w:t>
      </w:r>
      <w:r>
        <w:t xml:space="preserve"> </w:t>
      </w:r>
      <w:r>
        <w:t xml:space="preserve">is verified harmful, and supplying it requires the coordinate structure the partial order</w:t>
      </w:r>
      <w:r>
        <w:t xml:space="preserve"> </w:t>
      </w:r>
      <w:r>
        <w:t xml:space="preserve">formalizes.</w:t>
      </w:r>
    </w:p>
    <w:bookmarkEnd w:id="139"/>
    <w:bookmarkStart w:id="140" w:name="Xbf74051c231d8f5334cdbb8a3972387ec2ab08e"/>
    <w:p>
      <w:pPr>
        <w:pStyle w:val="Heading4"/>
      </w:pPr>
      <w:r>
        <w:t xml:space="preserve">A structured-context ablation: labeled XML segmentation does not mitigate.</w:t>
      </w:r>
    </w:p>
    <w:p>
      <w:pPr>
        <w:pStyle w:val="FirstParagraph"/>
      </w:pPr>
      <w:r>
        <w:t xml:space="preserve">To separate</w:t>
      </w:r>
      <w:r>
        <w:t xml:space="preserve"> </w:t>
      </w:r>
      <w:r>
        <w:t xml:space="preserve">“the model cannot segment the two conventions”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model cannot route them</w:t>
      </w:r>
      <w:r>
        <w:t xml:space="preserve"> </w:t>
      </w:r>
      <w:r>
        <w:t xml:space="preserve">to task families,”</w:t>
      </w:r>
      <w:r>
        <w:t xml:space="preserve"> </w:t>
      </w:r>
      <w:r>
        <w:t xml:space="preserve">the arm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wraps the same two conventions, in the same</w:t>
      </w:r>
      <w:r>
        <w:t xml:space="preserve"> </w:t>
      </w:r>
      <w:r>
        <w:t xml:space="preserve">order as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, in labeled XML sections (</w:t>
      </w:r>
      <w:r>
        <w:rPr>
          <w:rStyle w:val="VerbatimChar"/>
        </w:rPr>
        <w:t xml:space="preserve">&lt;wire_encoding_invariant&gt;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&lt;api_call_contract&gt;</w:t>
      </w:r>
      <w:r>
        <w:t xml:space="preserve">) with no routing statement. On Haiku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cell, structure alone does not mitigate at all:</w:t>
      </w:r>
      <w:r>
        <w:t xml:space="preserve"> </w:t>
      </w:r>
      <m:oMath>
        <m:sSubSup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sup>
        </m:sSubSup>
      </m:oMath>
      <w:r>
        <w:t xml:space="preserve"> </w:t>
      </w:r>
      <w:r>
        <w:t xml:space="preserve">scores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both collapse cells, exactly the raw superset’s result,</w:t>
      </w:r>
      <w:r>
        <w:t xml:space="preserve"> </w:t>
      </w:r>
      <w:r>
        <w:t xml:space="preserve">so labelled segmentation without a routing statement is not separated from the superset anywhere</w:t>
      </w:r>
      <w:r>
        <w:t xml:space="preserve"> </w:t>
      </w:r>
      <w:r>
        <w:t xml:space="preserve">(both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t>0.088</m:t>
        </m:r>
        <m:r>
          <m:rPr>
            <m:sty m:val="p"/>
          </m:rPr>
          <m:t>]</m:t>
        </m:r>
      </m:oMath>
      <w:r>
        <w:t xml:space="preserve">). The routing note is separated from both on both cells:</w:t>
      </w:r>
      <w:r>
        <w:t xml:space="preserve"> 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0.672</m:t>
        </m:r>
        <m:r>
          <m:rPr>
            <m:sty m:val="p"/>
          </m:rPr>
          <m:t>,</m:t>
        </m:r>
        <m:r>
          <m:t>0.927</m:t>
        </m:r>
        <m:r>
          <m:rPr>
            <m:sty m:val="p"/>
          </m:rPr>
          <m:t>]</m:t>
        </m:r>
      </m:oMath>
      <w:r>
        <w:t xml:space="preserve">) and</w:t>
      </w:r>
      <w:r>
        <w:t xml:space="preserve"> </w:t>
      </w:r>
      <m:oMath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0.868</m:t>
        </m:r>
        <m:r>
          <m:rPr>
            <m:sty m:val="p"/>
          </m:rPr>
          <m:t>,</m:t>
        </m:r>
        <m:r>
          <m:t>0.999</m:t>
        </m:r>
        <m:r>
          <m:rPr>
            <m:sty m:val="p"/>
          </m:rPr>
          <m:t>]</m:t>
        </m:r>
      </m:oMath>
      <w:r>
        <w:t xml:space="preserve">).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the routing arm also exceeds this control’s own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baseline of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[</m:t>
        </m:r>
        <m:r>
          <m:t>0.615</m:t>
        </m:r>
        <m:r>
          <m:rPr>
            <m:sty m:val="p"/>
          </m:rPr>
          <m:t>,</m:t>
        </m:r>
        <m:r>
          <m:t>0.892</m:t>
        </m:r>
        <m:r>
          <m:rPr>
            <m:sty m:val="p"/>
          </m:rPr>
          <m:t>]</m:t>
        </m:r>
      </m:oMath>
      <w:r>
        <w:t xml:space="preserve">), so the ordering is not a graded ladder from</w:t>
      </w:r>
      <w:r>
        <w:t xml:space="preserve"> </w:t>
      </w:r>
      <w:r>
        <w:t xml:space="preserve">superset to dropping the dominated signal; what the arms separate is segmentation, which changes</w:t>
      </w:r>
      <w:r>
        <w:t xml:space="preserve"> </w:t>
      </w:r>
      <w:r>
        <w:t xml:space="preserve">nothing, from routing knowledge, which changes almost everything. As in</w:t>
      </w:r>
      <w:r>
        <w:t xml:space="preserve"> </w:t>
      </w:r>
      <w:r>
        <w:t xml:space="preserve">Section 8.3 this localization is an</w:t>
      </w:r>
      <w:r>
        <w:t xml:space="preserve"> </w:t>
      </w:r>
      <w:r>
        <w:t xml:space="preserve">interpretation of the behavioural contrasts, not a verified claim, and it rests on one model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, with the structure arm and the baselines it is compared against measured in one run.</w:t>
      </w:r>
    </w:p>
    <w:bookmarkEnd w:id="140"/>
    <w:bookmarkEnd w:id="141"/>
    <w:bookmarkEnd w:id="142"/>
    <w:bookmarkStart w:id="146" w:name="app:diag"/>
    <w:p>
      <w:pPr>
        <w:pStyle w:val="Heading1"/>
      </w:pPr>
      <w:r>
        <w:t xml:space="preserve">Experimental diagnostics</w:t>
      </w:r>
    </w:p>
    <w:p>
      <w:pPr>
        <w:pStyle w:val="FirstParagraph"/>
      </w:pPr>
      <w:r>
        <w:t xml:space="preserve">This appendix carries the per-draw diagnostic record behind Section 7.4.5 and the</w:t>
      </w:r>
      <w:r>
        <w:t xml:space="preserve"> </w:t>
      </w:r>
      <w:r>
        <w:t xml:space="preserve">token observation of Section 8.3. Nothing here is required to read the verified</w:t>
      </w:r>
      <w:r>
        <w:t xml:space="preserve"> </w:t>
      </w:r>
      <w:r>
        <w:t xml:space="preserve">results; it is the evidence for what the failing replies contain.</w:t>
      </w:r>
    </w:p>
    <w:bookmarkStart w:id="144" w:name="app:audit"/>
    <w:p>
      <w:pPr>
        <w:pStyle w:val="Heading2"/>
      </w:pPr>
      <w:r>
        <w:t xml:space="preserve">What the retained completions contain</w:t>
      </w:r>
    </w:p>
    <w:p>
      <w:pPr>
        <w:pStyle w:val="FirstParagraph"/>
      </w:pPr>
      <w:r>
        <w:t xml:space="preserve">Raw completions were kept for the three Anthropic models’ rows of the interference table; the</w:t>
      </w:r>
      <w:r>
        <w:t xml:space="preserve"> </w:t>
      </w:r>
      <w:r>
        <w:t xml:space="preserve">other three models’ rows are aggregate-only. This appendix reads what was kept. The table below</w:t>
      </w:r>
      <w:r>
        <w:t xml:space="preserve"> </w:t>
      </w:r>
      <w:r>
        <w:t xml:space="preserve">covers the two collapse cells of those three models,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completions per arm and cell,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total; the same retention is in place for the behavioural controls and the second source pair.</w:t>
      </w:r>
    </w:p>
    <w:bookmarkStart w:id="143" w:name="tab:retained"/>
    <w:p>
      <w:pPr>
        <w:pStyle w:val="TableCaption"/>
      </w:pPr>
      <w:r>
        <w:t xml:space="preserve">Retained completions on the two collapse cells,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arm.</w:t>
      </w:r>
      <w:r>
        <w:t xml:space="preserve"> </w:t>
      </w:r>
      <w:r>
        <w:t xml:space="preserve">“Import”</w:t>
      </w:r>
      <w:r>
        <w:t xml:space="preserve"> </w:t>
      </w:r>
      <w:r>
        <w:t xml:space="preserve">counts</w:t>
      </w:r>
      <w:r>
        <w:t xml:space="preserve"> </w:t>
      </w:r>
      <w:r>
        <w:t xml:space="preserve">replies carrying the</w:t>
      </w:r>
      <w:r>
        <w:t xml:space="preserve"> </w:t>
      </w:r>
      <w:r>
        <w:rPr>
          <w:rStyle w:val="VerbatimChar"/>
        </w:rPr>
        <w:t xml:space="preserve">import ledger</w:t>
      </w:r>
      <w:r>
        <w:t xml:space="preserve"> </w:t>
      </w:r>
      <w:r>
        <w:t xml:space="preserve">line the task needs;</w:t>
      </w:r>
      <w:r>
        <w:t xml:space="preserve"> </w:t>
      </w:r>
      <w:r>
        <w:t xml:space="preserve">“wire”</w:t>
      </w:r>
      <w:r>
        <w:t xml:space="preserve"> </w:t>
      </w:r>
      <w:r>
        <w:t xml:space="preserve">counts replies matching</w:t>
      </w:r>
      <w:r>
        <w:t xml:space="preserve"> </w:t>
      </w:r>
      <w:r>
        <w:t xml:space="preserve">the encoding rule below;</w:t>
      </w:r>
      <w:r>
        <w:t xml:space="preserve"> </w:t>
      </w:r>
      <w:r>
        <w:t xml:space="preserve">“empty”</w:t>
      </w:r>
      <w:r>
        <w:t xml:space="preserve"> </w:t>
      </w:r>
      <w:r>
        <w:t xml:space="preserve">counts replies from which no code block could be extracted;</w:t>
      </w:r>
      <w:r>
        <w:t xml:space="preserve"> </w:t>
      </w:r>
      <w:r>
        <w:t xml:space="preserve">“refusal”</w:t>
      </w:r>
      <w:r>
        <w:t xml:space="preserve"> </w:t>
      </w:r>
      <w:r>
        <w:t xml:space="preserve">counts replies declining the task. Mean length is in characters of the extracted</w:t>
      </w:r>
      <w:r>
        <w:t xml:space="preserve"> </w:t>
      </w:r>
      <w:r>
        <w:t xml:space="preserve">code. Every column is reproduced by</w:t>
      </w:r>
      <w:r>
        <w:t xml:space="preserve"> </w:t>
      </w:r>
      <w:r>
        <w:rPr>
          <w:rStyle w:val="VerbatimChar"/>
        </w:rPr>
        <w:t xml:space="preserve">harness/diag/retained_text_checks.py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tained completions on the two collapse cells, n=40 per arm. “Import” counts replies carrying the import ledger line the task needs; “wire” counts replies matching the encoding rule below; “empty” counts replies from which no code block could be extracted; “refusal” counts replies declining the task. Mean length is in characters of the extracted code. Every column is reproduced by harness/diag/retained_text_checks.py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length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 / Refusal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Haiku-4.5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477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39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459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Sonnet-4.6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383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Opus-4.8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api_post_ok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286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api_argorder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40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</m:t>
              </m:r>
            </m:oMath>
          </w:p>
        </w:tc>
      </w:tr>
    </w:tbl>
    <w:bookmarkEnd w:id="143"/>
    <w:p>
      <w:pPr>
        <w:pStyle w:val="BodyText"/>
      </w:pPr>
      <w:r>
        <w:t xml:space="preserve">Three screens follow and one thing is withheld.</w:t>
      </w:r>
      <w:r>
        <w:t xml:space="preserve"> </w:t>
      </w:r>
      <w:r>
        <w:rPr>
          <w:i/>
          <w:iCs/>
        </w:rPr>
        <w:t xml:space="preserve">The packaging screens come back negative</w:t>
      </w:r>
      <w:r>
        <w:t xml:space="preserve">:</w:t>
      </w:r>
      <w:r>
        <w:t xml:space="preserve"> </w:t>
      </w:r>
      <w:r>
        <w:t xml:space="preserve">no draw produced an empty extraction, and the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line is present in</w:t>
      </w:r>
      <w:r>
        <w:t xml:space="preserve"> </w:t>
      </w:r>
      <m:oMath>
        <m:r>
          <m:t>39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replies everywhere except Haiku’s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arm 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m:oMath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), which is the</w:t>
      </w:r>
      <w:r>
        <w:t xml:space="preserve"> </w:t>
      </w:r>
      <w:r>
        <w:t xml:space="preserve">arm that passes, so those omissions depress the comparison arm and understate the harm rather than</w:t>
      </w:r>
      <w:r>
        <w:t xml:space="preserve"> </w:t>
      </w:r>
      <w:r>
        <w:t xml:space="preserve">producing it. What this excludes is an empty extraction and a missing import, not every packaging</w:t>
      </w:r>
      <w:r>
        <w:t xml:space="preserve"> </w:t>
      </w:r>
      <w:r>
        <w:t xml:space="preserve">explanation.</w:t>
      </w:r>
      <w:r>
        <w:t xml:space="preserve"> </w:t>
      </w:r>
      <w:r>
        <w:rPr>
          <w:i/>
          <w:iCs/>
        </w:rPr>
        <w:t xml:space="preserve">The harmful arm inflates output on every model</w:t>
      </w:r>
      <w:r>
        <w:t xml:space="preserve">:</w:t>
      </w:r>
      <w:r>
        <w:t xml:space="preserve"> </w:t>
      </w:r>
      <m:oMath>
        <m:r>
          <m:t>105</m:t>
        </m:r>
        <m:r>
          <m:rPr>
            <m:sty m:val="p"/>
          </m:rPr>
          <m:t>→</m:t>
        </m:r>
        <m:r>
          <m:t>477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459</m:t>
        </m:r>
        <m:r>
          <m:rPr>
            <m:sty m:val="p"/>
          </m:rPr>
          <m:t>→</m:t>
        </m:r>
        <m:r>
          <m:t>633</m:t>
        </m:r>
      </m:oMath>
      <w:r>
        <w:t xml:space="preserve"> </w:t>
      </w:r>
      <w:r>
        <w:t xml:space="preserve">characters on Haiku,</w:t>
      </w:r>
      <w:r>
        <w:t xml:space="preserve"> </w:t>
      </w:r>
      <m:oMath>
        <m:r>
          <m:t>94</m:t>
        </m:r>
        <m:r>
          <m:rPr>
            <m:sty m:val="p"/>
          </m:rPr>
          <m:t>→</m:t>
        </m:r>
        <m:r>
          <m:t>383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180</m:t>
        </m:r>
        <m:r>
          <m:rPr>
            <m:sty m:val="p"/>
          </m:rPr>
          <m:t>→</m:t>
        </m:r>
        <m:r>
          <m:t>253</m:t>
        </m:r>
      </m:oMath>
      <w:r>
        <w:t xml:space="preserve"> </w:t>
      </w:r>
      <w:r>
        <w:t xml:space="preserve">on Sonnet,</w:t>
      </w:r>
      <w:r>
        <w:t xml:space="preserve"> </w:t>
      </w:r>
      <m:oMath>
        <m:r>
          <m:t>93</m:t>
        </m:r>
        <m:r>
          <m:rPr>
            <m:sty m:val="p"/>
          </m:rPr>
          <m:t>→</m:t>
        </m:r>
        <m:r>
          <m:t>286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→</m:t>
        </m:r>
        <m:r>
          <m:t>252</m:t>
        </m:r>
      </m:oMath>
      <w:r>
        <w:t xml:space="preserve"> </w:t>
      </w:r>
      <w:r>
        <w:t xml:space="preserve">on Opus.</w:t>
      </w:r>
      <w:r>
        <w:t xml:space="preserve"> </w:t>
      </w:r>
      <w:r>
        <w:rPr>
          <w:i/>
          <w:iCs/>
        </w:rPr>
        <w:t xml:space="preserve">The refusal screen comes back negative</w:t>
      </w:r>
      <w:r>
        <w:t xml:space="preserve">: the phrase list below matches</w:t>
      </w:r>
      <w:r>
        <w:t xml:space="preserve"> </w:t>
      </w:r>
      <w:r>
        <w:t xml:space="preserve">none of the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draws, so the refusal behaviour an earlier command-line record showed for Sonnet</w:t>
      </w:r>
      <w:r>
        <w:t xml:space="preserve"> </w:t>
      </w:r>
      <w:r>
        <w:t xml:space="preserve">is not present here. Being a phrase list, it bounds explicit refusal language rather than every</w:t>
      </w:r>
      <w:r>
        <w:t xml:space="preserve"> </w:t>
      </w:r>
      <w:r>
        <w:t xml:space="preserve">way a reply could decline.</w:t>
      </w:r>
    </w:p>
    <w:p>
      <w:pPr>
        <w:pStyle w:val="BodyText"/>
      </w:pPr>
      <w:r>
        <w:t xml:space="preserve">The wire and refusal columns are two regular expressions, the first applied to the extracted code</w:t>
      </w:r>
      <w:r>
        <w:t xml:space="preserve"> </w:t>
      </w:r>
      <w:r>
        <w:t xml:space="preserve">and the second to the prose outside the code fences:</w:t>
      </w:r>
    </w:p>
    <w:p>
      <w:pPr>
        <w:pStyle w:val="SourceCode"/>
      </w:pPr>
      <w:r>
        <w:rPr>
          <w:rStyle w:val="VerbatimChar"/>
        </w:rPr>
        <w:t xml:space="preserve">wire     re.search(r"#\{|f\"\{sign\}|check\s*=|% 10", code)</w:t>
      </w:r>
      <w:r>
        <w:br/>
      </w:r>
      <w:r>
        <w:rPr>
          <w:rStyle w:val="VerbatimChar"/>
        </w:rPr>
        <w:t xml:space="preserve">refusal  re.search(r"\bI can(?:no|')t\b|\bI won't\b|\bI'm (?:not able|unable)\b"</w:t>
      </w:r>
      <w:r>
        <w:br/>
      </w:r>
      <w:r>
        <w:rPr>
          <w:rStyle w:val="VerbatimChar"/>
        </w:rPr>
        <w:t xml:space="preserve">                   r"|\bunable to (?:help|assist|comply)\b|\bI must decline\b",</w:t>
      </w:r>
      <w:r>
        <w:br/>
      </w:r>
      <w:r>
        <w:rPr>
          <w:rStyle w:val="VerbatimChar"/>
        </w:rPr>
        <w:t xml:space="preserve">                   prose, re.I)</w:t>
      </w:r>
    </w:p>
    <w:p>
      <w:pPr>
        <w:pStyle w:val="FirstParagraph"/>
      </w:pPr>
      <w:r>
        <w:t xml:space="preserve">It matches the reply constructing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’s check-digit amount, whether as a literal or through an</w:t>
      </w:r>
      <w:r>
        <w:t xml:space="preserve"> </w:t>
      </w:r>
      <w:r>
        <w:t xml:space="preserve">f-string, and it is quoted here because an earlier version of the same check looked only for a</w:t>
      </w:r>
      <w:r>
        <w:t xml:space="preserve"> </w:t>
      </w:r>
      <w:r>
        <w:t xml:space="preserve">quoted literal and therefore reported zero on replies that plainly carry the encoding.</w:t>
      </w:r>
    </w:p>
    <w:p>
      <w:pPr>
        <w:pStyle w:val="BodyText"/>
      </w:pPr>
      <w:r>
        <w:t xml:space="preserve">What is withheld is the mechanism. The flag separates the arms completely on the two API cells,</w:t>
      </w:r>
      <w:r>
        <w:t xml:space="preserve"> </w:t>
      </w:r>
      <m:oMath>
        <m:r>
          <m:t>240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over the three models. It is not a correctness test: on those same</w:t>
      </w:r>
      <w:r>
        <w:t xml:space="preserve"> </w:t>
      </w:r>
      <w:r>
        <w:t xml:space="preserve">cells it fires on</w:t>
      </w:r>
      <w:r>
        <w:t xml:space="preserve"> </w:t>
      </w:r>
      <m:oMath>
        <m:r>
          <m:t>238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replies, every one of which fails the API verifier, and</w:t>
      </w:r>
      <w:r>
        <w:t xml:space="preserve"> </w:t>
      </w:r>
      <w:r>
        <w:t xml:space="preserve">on</w:t>
      </w:r>
      <w:r>
        <w:t xml:space="preserve"> </w:t>
      </w:r>
      <m:oMath>
        <m:r>
          <m:t>31</m:t>
        </m:r>
        <m:r>
          <m:rPr>
            <m:sty m:val="p"/>
          </m:rPr>
          <m:t>/</m:t>
        </m:r>
        <m:r>
          <m:t>240</m:t>
        </m:r>
      </m:oMath>
      <w:r>
        <w:t xml:space="preserve"> </w:t>
      </w:r>
      <w:r>
        <w:t xml:space="preserve">of the no-context replies. On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—a different population, in which</w:t>
      </w:r>
      <w:r>
        <w:t xml:space="preserve"> </w:t>
      </w:r>
      <w:r>
        <w:t xml:space="preserve">applying the encoding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contract—it fires on</w:t>
      </w:r>
      <w:r>
        <w:t xml:space="preserve"> </w:t>
      </w:r>
      <m:oMath>
        <m:r>
          <m:t>109</m:t>
        </m:r>
        <m:r>
          <m:rPr>
            <m:sty m:val="p"/>
          </m:rPr>
          <m:t>/</m:t>
        </m:r>
        <m:r>
          <m:t>120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replies while</w:t>
      </w:r>
      <w:r>
        <w:t xml:space="preserve"> </w:t>
      </w:r>
      <m:oMath>
        <m:r>
          <m:t>102</m:t>
        </m:r>
        <m:r>
          <m:rPr>
            <m:sty m:val="p"/>
          </m:rPr>
          <m:t>/</m:t>
        </m:r>
        <m:r>
          <m:t>120</m:t>
        </m:r>
      </m:oMath>
      <w:r>
        <w:t xml:space="preserve"> </w:t>
      </w:r>
      <w:r>
        <w:t xml:space="preserve">of them pass. What the flag reports is an output pattern tied to the source condition;</w:t>
      </w:r>
      <w:r>
        <w:t xml:space="preserve"> </w:t>
      </w:r>
      <w:r>
        <w:t xml:space="preserve">it does not identify an internal cause and says nothing about what the model represented</w:t>
      </w:r>
      <w:r>
        <w:t xml:space="preserve"> </w:t>
      </w:r>
      <w:r>
        <w:t xml:space="preserve">internally. Theorem 3 does not depend on the answer: it constrains any rule whose</w:t>
      </w:r>
      <w:r>
        <w:t xml:space="preserve"> </w:t>
      </w:r>
      <w:r>
        <w:t xml:space="preserve">PASS falls under a strict superset, whatever the internal cause.</w:t>
      </w:r>
    </w:p>
    <w:bookmarkEnd w:id="144"/>
    <w:bookmarkStart w:id="145" w:name="app:tokens"/>
    <w:p>
      <w:pPr>
        <w:pStyle w:val="Heading2"/>
      </w:pPr>
      <w:r>
        <w:t xml:space="preserve">Output-token inflation on the harmful arm</w:t>
      </w:r>
    </w:p>
    <w:p>
      <w:pPr>
        <w:pStyle w:val="FirstParagraph"/>
      </w:pPr>
      <w:r>
        <w:t xml:space="preserve">Every collapse is accompanied by output-token inflation on the harmful arm. Across the twelve API</w:t>
      </w:r>
      <w:r>
        <w:t xml:space="preserve"> </w:t>
      </w:r>
      <w:r>
        <w:t xml:space="preserve">collapse cells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emits between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321</m:t>
        </m:r>
        <m:r>
          <m:rPr>
            <m:sty m:val="p"/>
          </m:rPr>
          <m:t>%</m:t>
        </m:r>
      </m:oMath>
      <w:r>
        <w:t xml:space="preserve"> </w:t>
      </w:r>
      <w:r>
        <w:t xml:space="preserve">more output tokens than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(Haiku</w:t>
      </w:r>
      <w:r>
        <w:t xml:space="preserve"> </w:t>
      </w:r>
      <m:oMath>
        <m:r>
          <m:rPr>
            <m:sty m:val="p"/>
          </m:rPr>
          <m:t>+</m:t>
        </m:r>
        <m:r>
          <m:t>321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55</m:t>
        </m:r>
        <m:r>
          <m:rPr>
            <m:sty m:val="p"/>
          </m:rPr>
          <m:t>%</m:t>
        </m:r>
      </m:oMath>
      <w:r>
        <w:t xml:space="preserve">; Sonnet</w:t>
      </w:r>
      <w:r>
        <w:t xml:space="preserve"> </w:t>
      </w:r>
      <m:oMath>
        <m:r>
          <m:rPr>
            <m:sty m:val="p"/>
          </m:rPr>
          <m:t>+</m:t>
        </m:r>
        <m:r>
          <m:t>283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; Opus</w:t>
      </w:r>
      <w:r>
        <w:t xml:space="preserve"> </w:t>
      </w:r>
      <m:oMath>
        <m:r>
          <m:rPr>
            <m:sty m:val="p"/>
          </m:rPr>
          <m:t>+</m:t>
        </m:r>
        <m:r>
          <m:t>229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164</m:t>
        </m:r>
        <m:r>
          <m:rPr>
            <m:sty m:val="p"/>
          </m:rPr>
          <m:t>%</m:t>
        </m:r>
      </m:oMath>
      <w:r>
        <w:t xml:space="preserve">; GPT-5.5</w:t>
      </w:r>
      <w:r>
        <w:t xml:space="preserve"> </w:t>
      </w:r>
      <m:oMath>
        <m:r>
          <m:rPr>
            <m:sty m:val="p"/>
          </m:rPr>
          <m:t>+</m:t>
        </m:r>
        <m:r>
          <m:t>281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274</m:t>
        </m:r>
        <m:r>
          <m:rPr>
            <m:sty m:val="p"/>
          </m:rPr>
          <m:t>%</m:t>
        </m:r>
      </m:oMath>
      <w:r>
        <w:t xml:space="preserve">; DeepSeek</w:t>
      </w:r>
      <w:r>
        <w:t xml:space="preserve"> </w:t>
      </w:r>
      <m:oMath>
        <m:r>
          <m:rPr>
            <m:sty m:val="p"/>
          </m:rPr>
          <m:t>+</m:t>
        </m:r>
        <m:r>
          <m:t>93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166</m:t>
        </m:r>
        <m:r>
          <m:rPr>
            <m:sty m:val="p"/>
          </m:rPr>
          <m:t>%</m:t>
        </m:r>
      </m:oMath>
      <w:r>
        <w:t xml:space="preserve">; Kimi</w:t>
      </w:r>
      <w:r>
        <w:t xml:space="preserve"> </w:t>
      </w:r>
      <m:oMath>
        <m:r>
          <m:rPr>
            <m:sty m:val="p"/>
          </m:rPr>
          <m:t>+</m:t>
        </m:r>
        <m:r>
          <m:t>203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%</m:t>
        </m:r>
      </m:oMath>
      <w:r>
        <w:t xml:space="preserve">, given as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/</w:t>
      </w:r>
      <w:r>
        <w:rPr>
          <w:rStyle w:val="VerbatimChar"/>
        </w:rPr>
        <w:t xml:space="preserve">api_argorder</w:t>
      </w:r>
      <w:r>
        <w:t xml:space="preserve">).</w:t>
      </w:r>
      <w:r>
        <w:t xml:space="preserve"> </w:t>
      </w:r>
      <w:r>
        <w:t xml:space="preserve">One might read this as</w:t>
      </w:r>
      <w:r>
        <w:t xml:space="preserve"> </w:t>
      </w:r>
      <w:r>
        <w:t xml:space="preserve">“verbose thrashing”</w:t>
      </w:r>
      <w:r>
        <w:t xml:space="preserve"> </w:t>
      </w:r>
      <w:r>
        <w:t xml:space="preserve">causing the failure, but the relationship is</w:t>
      </w:r>
      <w:r>
        <w:t xml:space="preserve"> </w:t>
      </w:r>
      <w:r>
        <w:t xml:space="preserve">correlational and uncontrolled: on the</w:t>
      </w:r>
      <w:r>
        <w:t xml:space="preserve"> </w:t>
      </w:r>
      <w:r>
        <w:rPr>
          <w:i/>
          <w:iCs/>
        </w:rPr>
        <w:t xml:space="preserve">still-passing</w:t>
      </w:r>
      <w:r>
        <w:t xml:space="preserve"> </w:t>
      </w:r>
      <w:r>
        <w:t xml:space="preserve">encoding cell the same superset arm</w:t>
      </w:r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73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41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same models, with no consistent direction, which</w:t>
      </w:r>
      <w:r>
        <w:t xml:space="preserve"> </w:t>
      </w:r>
      <w:r>
        <w:t xml:space="preserve">undercuts a clean</w:t>
      </w:r>
      <w:r>
        <w:t xml:space="preserve"> </w:t>
      </w:r>
      <w:r>
        <w:t xml:space="preserve">“verbosity causes collapse”</w:t>
      </w:r>
      <w:r>
        <w:t xml:space="preserve"> </w:t>
      </w:r>
      <w:r>
        <w:t xml:space="preserve">account. We therefore treat the token fingerprint as a reproducible</w:t>
      </w:r>
      <w:r>
        <w:t xml:space="preserve"> </w:t>
      </w:r>
      <w:r>
        <w:t xml:space="preserve">correlate of the harmful arm, not a mechanism.</w:t>
      </w:r>
    </w:p>
    <w:p>
      <w:pPr>
        <w:pStyle w:val="BodyText"/>
      </w:pPr>
      <w:r>
        <w:t xml:space="preserve">One qualification governs this whole subsection. The retained completions</w:t>
      </w:r>
      <w:r>
        <w:t xml:space="preserve"> </w:t>
      </w:r>
      <w:r>
        <w:t xml:space="preserve">(Appendix C.1) rule out the packaging faults the screens test but do not identify what</w:t>
      </w:r>
      <w:r>
        <w:t xml:space="preserve"> </w:t>
      </w:r>
      <w:r>
        <w:t xml:space="preserve">replaces them, and no draw in the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replies of the two collapse cells declined the task. That</w:t>
      </w:r>
      <w:r>
        <w:t xml:space="preserve"> </w:t>
      </w:r>
      <w:r>
        <w:t xml:space="preserve">screen was never run on the three models whose draws were not retained, and elsewhere in the</w:t>
      </w:r>
      <w:r>
        <w:t xml:space="preserve"> </w:t>
      </w:r>
      <w:r>
        <w:t xml:space="preserve">retained set it is not empty: it matches seven no-context Opus draws.</w:t>
      </w:r>
    </w:p>
    <w:p>
      <w:pPr>
        <w:pStyle w:val="BodyText"/>
      </w:pPr>
      <w:r>
        <w:t xml:space="preserve">The claim structure is deliberately mechanism-agnostic: Theorem 3 verifies that</w:t>
      </w:r>
      <w:r>
        <w:t xml:space="preserve"> </w:t>
      </w:r>
      <w:r>
        <w:t xml:space="preserve">the realized rule is not Blackwell-coherent</w:t>
      </w:r>
      <w:r>
        <w:t xml:space="preserve"> </w:t>
      </w:r>
      <w:r>
        <w:rPr>
          <w:i/>
          <w:iCs/>
        </w:rPr>
        <w:t xml:space="preserve">whatever</w:t>
      </w:r>
      <w:r>
        <w:t xml:space="preserve"> </w:t>
      </w:r>
      <w:r>
        <w:t xml:space="preserve">the internal cause, and the behavioral</w:t>
      </w:r>
      <w:r>
        <w:t xml:space="preserve"> </w:t>
      </w:r>
      <w:r>
        <w:t xml:space="preserve">controls constrain the hypothesis space from outside, the collapse survives reversal of the block</w:t>
      </w:r>
      <w:r>
        <w:t xml:space="preserve"> </w:t>
      </w:r>
      <w:r>
        <w:t xml:space="preserve">order (order control) and is not reproduced by an off-topic block of equal character length</w:t>
      </w:r>
      <w:r>
        <w:t xml:space="preserve"> </w:t>
      </w:r>
      <w:r>
        <w:t xml:space="preserve">(padding control), and is largely curable by explicit convention routing</w:t>
      </w:r>
      <w:r>
        <w:t xml:space="preserve"> </w:t>
      </w:r>
      <w:r>
        <w:t xml:space="preserve">(instruction ablation), a signature consistent with mis-binding rather than capacity exhaustion.</w:t>
      </w:r>
      <w:r>
        <w:t xml:space="preserve"> </w:t>
      </w:r>
      <w:r>
        <w:t xml:space="preserve">That the one-line routing note recovers most of the collapse (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33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→</m:t>
        </m:r>
        <m:r>
          <m:t>39</m:t>
        </m:r>
        <m:r>
          <m:rPr>
            <m:sty m:val="p"/>
          </m:rPr>
          <m:t>/</m:t>
        </m:r>
        <m:r>
          <m:t>40</m:t>
        </m:r>
      </m:oMath>
      <w:r>
        <w:t xml:space="preserve">)</w:t>
      </w:r>
      <w:r>
        <w:t xml:space="preserve"> </w:t>
      </w:r>
      <w:r>
        <w:t xml:space="preserve">while labeled XML segmentation of the same content recovers none of it (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on both cells)</w:t>
      </w:r>
      <w:r>
        <w:t xml:space="preserve"> </w:t>
      </w:r>
      <w:r>
        <w:t xml:space="preserve">locates the operative variable in convention-to-task routing rather than formatting; this is an</w:t>
      </w:r>
      <w:r>
        <w:t xml:space="preserve"> </w:t>
      </w:r>
      <w:r>
        <w:t xml:space="preserve">interpretation, not a finding, and every verified claim is independent of it. An activation-level account is out of reach</w:t>
      </w:r>
      <w:r>
        <w:t xml:space="preserve"> </w:t>
      </w:r>
      <w:r>
        <w:t xml:space="preserve">here, since four of the six models are closed-weight and the phenomenon is cross-vendor; the direct</w:t>
      </w:r>
      <w:r>
        <w:t xml:space="preserve"> </w:t>
      </w:r>
      <w:r>
        <w:t xml:space="preserve">route is to reproduce the collapse on an open-weight model with the same harness and instrument the</w:t>
      </w:r>
      <w:r>
        <w:t xml:space="preserve"> </w:t>
      </w:r>
      <w:r>
        <w:t xml:space="preserve">contrasting arms, downstream of rather than prerequisite to the behavioral claim. Distractor</w:t>
      </w:r>
      <w:r>
        <w:t xml:space="preserve"> </w:t>
      </w:r>
      <w:r>
        <w:t xml:space="preserve">interference in RAG has been localized to a sparse feature subspace and corrected</w:t>
      </w:r>
      <w:r>
        <w:t xml:space="preserve"> </w:t>
      </w:r>
      <w:r>
        <w:t xml:space="preserve">there </w:t>
      </w:r>
      <w:r>
        <w:t xml:space="preserve">(Giannetti et al. 2026)</w:t>
      </w:r>
      <w:r>
        <w:t xml:space="preserve">; ours differs in cause, the added source is each true, and each needed by some task in the battery though not by every task</w:t>
      </w:r>
      <w:r>
        <w:t xml:space="preserve"> </w:t>
      </w:r>
      <w:r>
        <w:t xml:space="preserve">rather than a distractor, and it is not a knowledge conflict in the sense of</w:t>
      </w:r>
      <w:r>
        <w:t xml:space="preserve"> </w:t>
      </w:r>
      <w:r>
        <w:t xml:space="preserve">Xu et al. (2024)</w:t>
      </w:r>
      <w:r>
        <w:t xml:space="preserve">, since nothing in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contradicts.</w:t>
      </w:r>
    </w:p>
    <w:bookmarkEnd w:id="145"/>
    <w:bookmarkEnd w:id="146"/>
    <w:bookmarkStart w:id="292" w:name="app:repro"/>
    <w:p>
      <w:pPr>
        <w:pStyle w:val="Heading1"/>
      </w:pPr>
      <w:r>
        <w:t xml:space="preserve">Reproducibility and protocol</w:t>
      </w:r>
    </w:p>
    <w:p>
      <w:pPr>
        <w:pStyle w:val="FirstParagraph"/>
      </w:pPr>
      <w:r>
        <w:t xml:space="preserve">All reported numbers come from real model calls whose outputs are checked by executable verifiers; there</w:t>
      </w:r>
      <w:r>
        <w:t xml:space="preserve"> </w:t>
      </w:r>
      <w:r>
        <w:t xml:space="preserve">are no modeled or aspirational figures. The complete artifact bundle (the measurement harness, the</w:t>
      </w:r>
      <w:r>
        <w:t xml:space="preserve"> </w:t>
      </w:r>
      <w:r>
        <w:t xml:space="preserve">executable verifiers, and every per-model run log and result JSON cited below) is available at</w:t>
      </w:r>
      <w:r>
        <w:t xml:space="preserve"> 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. The harness (</w:t>
      </w:r>
      <w:r>
        <w:rPr>
          <w:rStyle w:val="VerbatimChar"/>
        </w:rPr>
        <w:t xml:space="preserve">harness/measure_blackwell.py</w:t>
      </w:r>
      <w:r>
        <w:t xml:space="preserve">) is</w:t>
      </w:r>
      <w:r>
        <w:t xml:space="preserve"> </w:t>
      </w:r>
      <w:r>
        <w:t xml:space="preserve">Python-standard-library only (no third-party dependencies; the Clopper–Pearson endpoints use a stdlib</w:t>
      </w:r>
      <w:r>
        <w:t xml:space="preserve"> </w:t>
      </w:r>
      <w:r>
        <w:t xml:space="preserve">regularized incomplete beta), is cross-OS, and implements the surrogate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δ</m:t>
                </m:r>
              </m:e>
            </m:acc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, the uniform</w:t>
      </w:r>
      <w:r>
        <w:t xml:space="preserve"> </w:t>
      </w:r>
      <w:r>
        <w:t xml:space="preserve">incomparability verification (</w:t>
      </w:r>
      <w:r>
        <w:rPr>
          <w:rStyle w:val="VerbatimChar"/>
        </w:rPr>
        <w:t xml:space="preserve">certify_incomparable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clopper_pearson</w:t>
      </w:r>
      <w:r>
        <w:t xml:space="preserve">), the dominance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certify_dominance</w:t>
      </w:r>
      <w:r>
        <w:t xml:space="preserve">), the interference verification, the sample-size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required_n_stark</w:t>
      </w:r>
      <w:r>
        <w:t xml:space="preserve">), and the lexical-relevance scalar</w:t>
      </w:r>
      <w:r>
        <w:t xml:space="preserve"> </w:t>
      </w:r>
      <w:r>
        <w:t xml:space="preserve">(</w:t>
      </w:r>
      <w:r>
        <w:rPr>
          <w:rStyle w:val="VerbatimChar"/>
        </w:rPr>
        <w:t xml:space="preserve">lexical_relevance</w:t>
      </w:r>
      <w:r>
        <w:t xml:space="preserve">). It includes launchers for the Anthropic Messages API, the</w:t>
      </w:r>
      <w:r>
        <w:t xml:space="preserve"> </w:t>
      </w:r>
      <w:r>
        <w:t xml:space="preserve">Azure Responses API, and OpenAI-compatible chat completions; the launcher auto-detects API style from the</w:t>
      </w:r>
      <w:r>
        <w:t xml:space="preserve"> </w:t>
      </w:r>
      <w:r>
        <w:t xml:space="preserve">endpoint, and all API keys are read from the environment (never written to a file).</w:t>
      </w:r>
    </w:p>
    <w:bookmarkStart w:id="147" w:name="protocol."/>
    <w:p>
      <w:pPr>
        <w:pStyle w:val="Heading4"/>
      </w:pPr>
      <w:r>
        <w:t xml:space="preserve">Protocol.</w:t>
      </w:r>
    </w:p>
    <w:p>
      <w:pPr>
        <w:pStyle w:val="FirstParagraph"/>
      </w:pPr>
      <w:r>
        <w:t xml:space="preserve">The verifier stubs a fake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module that accepts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exact</w:t>
      </w:r>
      <w:r>
        <w:t xml:space="preserve"> </w:t>
      </w:r>
      <w:r>
        <w:t xml:space="preserve">private contract (it rejects wrong positional arg order, a missing</w:t>
      </w:r>
      <w:r>
        <w:t xml:space="preserve"> </w:t>
      </w:r>
      <w:r>
        <w:rPr>
          <w:rStyle w:val="VerbatimChar"/>
        </w:rPr>
        <w:t xml:space="preserve">memo=</w:t>
      </w:r>
      <w:r>
        <w:t xml:space="preserve"> </w:t>
      </w:r>
      <w:r>
        <w:t xml:space="preserve">keyword, and the wrong</w:t>
      </w:r>
      <w:r>
        <w:t xml:space="preserve"> </w:t>
      </w:r>
      <w:r>
        <w:t xml:space="preserve">exception type); return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PASS. The four verified cells are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arrives via a parameter, forcing the keyword-only fact),</w:t>
      </w:r>
      <w:r>
        <w:t xml:space="preserve"> </w:t>
      </w:r>
      <w:r>
        <w:rPr>
          <w:rStyle w:val="VerbatimChar"/>
        </w:rPr>
        <w:t xml:space="preserve">enc_amount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trap_store_wire</w:t>
      </w:r>
      <w:r>
        <w:t xml:space="preserve">; the arms are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none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(character-matched neutral filler</w:t>
      </w:r>
      <w:r>
        <w:t xml:space="preserve"> </w:t>
      </w:r>
      <m:oMath>
        <m:r>
          <m:t> </m:t>
        </m:r>
        <m:r>
          <m:rPr>
            <m:sty m:val="p"/>
          </m:rPr>
          <m:t>+</m:t>
        </m:r>
        <m:r>
          <m:rPr>
            <m:sty m:val="p"/>
          </m:rPr>
          <m:t>+</m:t>
        </m:r>
        <m:r>
          <m:t> 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) added for the padding control.</w:t>
      </w:r>
      <w:r>
        <w:t xml:space="preserve"> </w:t>
      </w:r>
      <w:r>
        <w:t xml:space="preserve">All six models are queried over HTTP (one request, one turn, the prompt</w:t>
      </w:r>
      <w:r>
        <w:t xml:space="preserve"> </w:t>
      </w:r>
      <w:r>
        <w:t xml:space="preserve">instructing tool abstention rather than a flag enforcing it; code extracted from the</w:t>
      </w:r>
      <w:r>
        <w:t xml:space="preserve"> </w:t>
      </w:r>
      <w:r>
        <w:t xml:space="preserve">returned text), and PASS is measured over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i.i.d. completions per cell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bookmarkEnd w:id="147"/>
    <w:bookmarkStart w:id="148" w:name="decoding-seeding-and-retries."/>
    <w:p>
      <w:pPr>
        <w:pStyle w:val="Heading4"/>
      </w:pPr>
      <w:r>
        <w:t xml:space="preserve">Decoding, seeding, and retries.</w:t>
      </w:r>
    </w:p>
    <w:p>
      <w:pPr>
        <w:pStyle w:val="FirstParagraph"/>
      </w:pPr>
      <w:r>
        <w:t xml:space="preserve">All runs use the provider’s default decoding</w:t>
      </w:r>
      <w:r>
        <w:t xml:space="preserve"> </w:t>
      </w:r>
      <w:r>
        <w:t xml:space="preserve">configuration: the harness sets no explicit temperature, top-</w:t>
      </w:r>
      <m:oMath>
        <m:r>
          <m:t>p</m:t>
        </m:r>
      </m:oMath>
      <w:r>
        <w:t xml:space="preserve">, or seed (the launchers are</w:t>
      </w:r>
      <w:r>
        <w:t xml:space="preserve"> </w:t>
      </w:r>
      <w:r>
        <w:t xml:space="preserve">invoked without sampling overrides), so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per cell</w:t>
      </w:r>
      <w:r>
        <w:t xml:space="preserve"> </w:t>
      </w:r>
      <w:r>
        <w:t xml:space="preserve">are independent samples from each provider’s default decoder, each a fresh single-turn call with a</w:t>
      </w:r>
      <w:r>
        <w:t xml:space="preserve"> </w:t>
      </w:r>
      <m:oMath>
        <m:r>
          <m:t>200</m:t>
        </m:r>
      </m:oMath>
      <w:r>
        <w:t xml:space="preserve">-second timeout. This describes every run reported in the paper. Earlier versions of this</w:t>
      </w:r>
      <w:r>
        <w:t xml:space="preserve"> </w:t>
      </w:r>
      <w:r>
        <w:t xml:space="preserve">record reached the Anthropic models, the four</w:t>
      </w:r>
      <w:r>
        <w:t xml:space="preserve"> </w:t>
      </w:r>
      <w:r>
        <w:t xml:space="preserve">behavioural controls and the second source pair through the command line; each has since been</w:t>
      </w:r>
      <w:r>
        <w:t xml:space="preserve"> </w:t>
      </w:r>
      <w:r>
        <w:t xml:space="preserve">re-measured over the API path, and every number reported here comes from those runs, whose logs</w:t>
      </w:r>
      <w:r>
        <w:t xml:space="preserve"> </w:t>
      </w:r>
      <w:r>
        <w:t xml:space="preserve">carry the</w:t>
      </w:r>
      <w:r>
        <w:t xml:space="preserve"> </w:t>
      </w:r>
      <w:r>
        <w:rPr>
          <w:rStyle w:val="VerbatimChar"/>
        </w:rPr>
        <w:t xml:space="preserve">[HTTP-API]</w:t>
      </w:r>
      <w:r>
        <w:t xml:space="preserve"> </w:t>
      </w:r>
      <w:r>
        <w:t xml:space="preserve">marker, the raw-failure audit of</w:t>
      </w:r>
      <w:r>
        <w:t xml:space="preserve"> </w:t>
      </w:r>
      <w:r>
        <w:t xml:space="preserve">Section 7.4.5 included: it reads the completions retained by those API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results/retain_api/</w:t>
      </w:r>
      <w:r>
        <w:t xml:space="preserve">), not the record they replaced.</w:t>
      </w:r>
    </w:p>
    <w:p>
      <w:pPr>
        <w:pStyle w:val="BodyText"/>
      </w:pPr>
      <w:r>
        <w:t xml:space="preserve">The following concerns the command-line record that the HTTP runs replaced; no table in this</w:t>
      </w:r>
      <w:r>
        <w:t xml:space="preserve"> </w:t>
      </w:r>
      <w:r>
        <w:t xml:space="preserve">version is computed from those files, and the one re-measurement still in use is the GPT-5.5 trap</w:t>
      </w:r>
      <w:r>
        <w:t xml:space="preserve"> </w:t>
      </w:r>
      <w:r>
        <w:t xml:space="preserve">cell described below. Four arm-only re-measurements were originally produced by ad-hoc scripts</w:t>
      </w:r>
      <w:r>
        <w:t xml:space="preserve"> </w:t>
      </w:r>
      <w:r>
        <w:t xml:space="preserve">that were not kept, so their regime could be asserted but not recovered from a run log. All four</w:t>
      </w:r>
      <w:r>
        <w:t xml:space="preserve"> </w:t>
      </w:r>
      <w:r>
        <w:t xml:space="preserve">were re-measured with</w:t>
      </w:r>
      <w:r>
        <w:t xml:space="preserve"> </w:t>
      </w:r>
      <w:r>
        <w:rPr>
          <w:rStyle w:val="VerbatimChar"/>
        </w:rPr>
        <w:t xml:space="preserve">harness/diag/rerun_arm.py</w:t>
      </w:r>
      <w:r>
        <w:t xml:space="preserve">, which calls the same</w:t>
      </w:r>
      <w:r>
        <w:t xml:space="preserve"> </w:t>
      </w:r>
      <w:r>
        <w:rPr>
          <w:rStyle w:val="VerbatimChar"/>
        </w:rPr>
        <w:t xml:space="preserve">run_one</w:t>
      </w:r>
      <w:r>
        <w:t xml:space="preserve"> </w:t>
      </w:r>
      <w:r>
        <w:t xml:space="preserve">the six-model tables are built from and writes a log recording the regime. Three reproduced their</w:t>
      </w:r>
      <w:r>
        <w:t xml:space="preserve"> </w:t>
      </w:r>
      <w:r>
        <w:t xml:space="preserve">published values closely: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and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cells returned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exactly as before, and the structured-context arm</w:t>
      </w:r>
      <w:r>
        <w:t xml:space="preserve"> </w:t>
      </w:r>
      <w:r>
        <w:t xml:space="preserve">moved by one draw on one cell.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 moved further, and deeper: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api_post_ok</w:t>
      </w:r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api_argorder</w:t>
      </w:r>
      <w:r>
        <w:t xml:space="preserve">. Every run cited here has a log</w:t>
      </w:r>
      <w:r>
        <w:t xml:space="preserve"> </w:t>
      </w:r>
      <w:r>
        <w:t xml:space="preserve">naming its regime;</w:t>
      </w:r>
      <w:r>
        <w:t xml:space="preserve"> </w:t>
      </w:r>
      <w:r>
        <w:rPr>
          <w:rStyle w:val="VerbatimChar"/>
        </w:rPr>
        <w:t xml:space="preserve">harness/diag/check_regimes.py</w:t>
      </w:r>
      <w:r>
        <w:t xml:space="preserve"> </w:t>
      </w:r>
      <w:r>
        <w:t xml:space="preserve">lists them with the evidence for each—an inventory of</w:t>
      </w:r>
      <w:r>
        <w:t xml:space="preserve"> </w:t>
      </w:r>
      <w:r>
        <w:t xml:space="preserve">the listed runs, not a proof that the list is complete or that each regime is disclosed where its</w:t>
      </w:r>
      <w:r>
        <w:t xml:space="preserve"> </w:t>
      </w:r>
      <w:r>
        <w:t xml:space="preserve">numbers are used. The between-run</w:t>
      </w:r>
      <w:r>
        <w:t xml:space="preserve"> </w:t>
      </w:r>
      <w:r>
        <w:t xml:space="preserve">movement on the Opus arm is itself a data point for Section 8.4: repeated measurement</w:t>
      </w:r>
      <w:r>
        <w:t xml:space="preserve"> </w:t>
      </w:r>
      <w:r>
        <w:t xml:space="preserve">of the same cell months apart shifts by more than the nominal interval width. Transport-level failures (empty or zero-token results) are retried up to three</w:t>
      </w:r>
      <w:r>
        <w:t xml:space="preserve"> </w:t>
      </w:r>
      <w:r>
        <w:t xml:space="preserve">times with quadratic backoff; a draw that still fails is scored as a failure, never as a pass. Where a transport-outage window hit a whole arm or a single cell, we re-measured it cleanly in isolation with the retry harness and report only the clean measurement: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arm; the Opus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cell, roughly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of whose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first-run draws were outage-scored (inferred from per-draw cost); and the Haiku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w:r>
        <w:rPr>
          <w:rStyle w:val="VerbatimChar"/>
        </w:rPr>
        <w:t xml:space="preserve">enc_amount</w:t>
      </w:r>
      <w:r>
        <w:t xml:space="preserve"> </w:t>
      </w:r>
      <w:r>
        <w:t xml:space="preserve">cell, whose first run predated the retry wrapper. One cell resisted re-measurement for longer than the others: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returned HTTP 500 after retries during the original run and no GPT-5.5 deployment was available on the resource at first revision, so for one revision cycle its reported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was carried with outage-scored draws in it. A GPT-5.5 deployment was subsequently provisioned and all four GPT-5.5 cells were re-run single-shot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per arm with retention and zero transport failures. The re-run reproduces the published grid exactly in all eight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/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entries, the disputed cell included (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clean), so every cell in the coverage family is now a valid binomial sample and the reported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real draws throughout.</w:t>
      </w:r>
    </w:p>
    <w:p>
      <w:pPr>
        <w:pStyle w:val="BodyText"/>
      </w:pPr>
      <w:r>
        <w:t xml:space="preserve">One cell is sourced separately. The base GPT-5.5 run logged an HTTP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W2</w:t>
      </w:r>
      <w:r>
        <w:t xml:space="preserve">/</w:t>
      </w:r>
      <w:r>
        <w:rPr>
          <w:rStyle w:val="VerbatimChar"/>
        </w:rPr>
        <w:t xml:space="preserve">trap_store_wire</w:t>
      </w:r>
      <w:r>
        <w:t xml:space="preserve">, so the published figure for that cell is taken from a</w:t>
      </w:r>
      <w:r>
        <w:t xml:space="preserve"> </w:t>
      </w:r>
      <w:r>
        <w:t xml:space="preserve">retained re-measurement with zero transport errors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audit/audit_gpt55_trap_store_wire_*</w:t>
      </w:r>
      <w:r>
        <w:t xml:space="preserve">), which returns the same</w:t>
      </w:r>
      <w:r>
        <w:t xml:space="preserve"> </w:t>
      </w:r>
      <m:oMath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80</m:t>
        </m:r>
      </m:oMath>
      <w:r>
        <w:t xml:space="preserve"> </w:t>
      </w:r>
      <w:r>
        <w:t xml:space="preserve">recorded replies. The reported percentages are unchanged; what changes is which run</w:t>
      </w:r>
      <w:r>
        <w:t xml:space="preserve"> </w:t>
      </w:r>
      <w:r>
        <w:t xml:space="preserve">they are read from.</w:t>
      </w:r>
    </w:p>
    <w:bookmarkEnd w:id="148"/>
    <w:bookmarkStart w:id="149" w:name="artifacts."/>
    <w:p>
      <w:pPr>
        <w:pStyle w:val="Heading4"/>
      </w:pPr>
      <w:r>
        <w:t xml:space="preserve">Artifacts.</w:t>
      </w:r>
    </w:p>
    <w:p>
      <w:pPr>
        <w:pStyle w:val="FirstParagraph"/>
      </w:pPr>
      <w:r>
        <w:t xml:space="preserve">Per-model run logs and result JSONs are in the artifact repository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https://github.com/abilous-ti/blackwell-llm-context</w:t>
        </w:r>
      </w:hyperlink>
      <w:r>
        <w:t xml:space="preserve">) under the pattern</w:t>
      </w:r>
      <w:r>
        <w:t xml:space="preserve"> </w:t>
      </w:r>
      <w:r>
        <w:rPr>
          <w:rStyle w:val="VerbatimChar"/>
        </w:rPr>
        <w:t xml:space="preserve">blackwell_*.{log,json}</w:t>
      </w:r>
      <w:r>
        <w:t xml:space="preserve">: the six single-turn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model runs, each a complete file and</w:t>
      </w:r>
      <w:r>
        <w:t xml:space="preserve"> </w:t>
      </w:r>
      <w:r>
        <w:t xml:space="preserve">each read whole except for the GPT-5.5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/</w:t>
      </w:r>
      <w:r>
        <w:rPr>
          <w:rStyle w:val="VerbatimChar"/>
        </w:rPr>
        <w:t xml:space="preserve">trap_store_wire</w:t>
      </w:r>
      <w:r>
        <w:t xml:space="preserve"> </w:t>
      </w:r>
      <w:r>
        <w:t xml:space="preserve">cell described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blackwell_haiku_api_n40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blackwell_sonnet_api_n40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blackwell_opus_api_n40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blackwell_gpt55_n40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blackwell_deepseek_n40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blackwell_kimi_n40</w:t>
      </w:r>
      <w:r>
        <w:t xml:space="preserve">),</w:t>
      </w:r>
      <w:r>
        <w:t xml:space="preserve"> </w:t>
      </w:r>
      <w:r>
        <w:t xml:space="preserve">and the follow-up controls. All four behavioural controls share one run,</w:t>
      </w:r>
      <w:r>
        <w:t xml:space="preserve"> </w:t>
      </w:r>
      <w:r>
        <w:rPr>
          <w:rStyle w:val="VerbatimChar"/>
        </w:rPr>
        <w:t xml:space="preserve">blackwell_controls_api_n40</w:t>
      </w:r>
      <w:r>
        <w:t xml:space="preserve"> </w:t>
      </w:r>
      <w:r>
        <w:t xml:space="preserve">(</w:t>
      </w:r>
      <m:oMath>
        <m:r>
          <m:t>640</m:t>
        </m:r>
      </m:oMath>
      <w:r>
        <w:t xml:space="preserve"> </w:t>
      </w:r>
      <w:r>
        <w:t xml:space="preserve">calls), whose arms are the padding filler, the</w:t>
      </w:r>
      <w:r>
        <w:t xml:space="preserve"> </w:t>
      </w:r>
      <w:r>
        <w:t xml:space="preserve">reversed concatenation, the routing note and the XML segmentation measured against the same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baselines;</w:t>
      </w:r>
      <w:r>
        <w:t xml:space="preserve"> </w:t>
      </w:r>
      <w:r>
        <w:rPr>
          <w:rStyle w:val="VerbatimChar"/>
        </w:rPr>
        <w:t xml:space="preserve">blackwell_pair2_api_n40</w:t>
      </w:r>
      <w:r>
        <w:t xml:space="preserve"> </w:t>
      </w:r>
      <w:r>
        <w:t xml:space="preserve">carries the second source pair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cr m:val="script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reported for it;</w:t>
      </w:r>
      <w:r>
        <w:t xml:space="preserve"> </w:t>
      </w:r>
      <w:r>
        <w:rPr>
          <w:rStyle w:val="VerbatimChar"/>
        </w:rPr>
        <w:t xml:space="preserve">reranker_trap_api_n100</w:t>
      </w:r>
      <w:r>
        <w:t xml:space="preserve"> </w:t>
      </w:r>
      <w:r>
        <w:t xml:space="preserve">is the</w:t>
      </w:r>
      <w:r>
        <w:t xml:space="preserve"> </w:t>
      </w:r>
      <w:r>
        <w:t xml:space="preserve">LLM listwise reranker probe, which records each judgment so the halfway checkpoint needs no</w:t>
      </w:r>
      <w:r>
        <w:t xml:space="preserve"> </w:t>
      </w:r>
      <w:r>
        <w:t xml:space="preserve">second run (</w:t>
      </w:r>
      <w:r>
        <w:rPr>
          <w:rStyle w:val="VerbatimChar"/>
        </w:rPr>
        <w:t xml:space="preserve">harness/measure_reranker_trap.py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dense_trap.json</w:t>
      </w:r>
      <w:r>
        <w:t xml:space="preserve"> </w:t>
      </w:r>
      <w:r>
        <w:t xml:space="preserve">(dense/cross-encoder</w:t>
      </w:r>
      <w:r>
        <w:t xml:space="preserve"> </w:t>
      </w:r>
      <w:r>
        <w:t xml:space="preserve">probe, deterministic local scoring of open-weight checkpoints at zero API cost;</w:t>
      </w:r>
      <w:r>
        <w:t xml:space="preserve"> </w:t>
      </w:r>
      <w:r>
        <w:rPr>
          <w:rStyle w:val="VerbatimChar"/>
        </w:rPr>
        <w:t xml:space="preserve">harness/measure_dense_trap.py</w:t>
      </w:r>
      <w:r>
        <w:t xml:space="preserve">). The full per-cell record is in</w:t>
      </w:r>
      <w:r>
        <w:t xml:space="preserve"> </w:t>
      </w:r>
      <w:r>
        <w:rPr>
          <w:rStyle w:val="VerbatimChar"/>
        </w:rPr>
        <w:t xml:space="preserve">docs/EXPERIMENT-BLACKWELL.md</w:t>
      </w:r>
      <w:r>
        <w:t xml:space="preserve"> </w:t>
      </w:r>
      <w:r>
        <w:t xml:space="preserve">and the theory hardening (formalization and proof</w:t>
      </w:r>
      <w:r>
        <w:t xml:space="preserve"> </w:t>
      </w:r>
      <w:r>
        <w:t xml:space="preserve">sketches) in</w:t>
      </w:r>
      <w:r>
        <w:t xml:space="preserve"> </w:t>
      </w:r>
      <w:r>
        <w:rPr>
          <w:rStyle w:val="VerbatimChar"/>
        </w:rPr>
        <w:t xml:space="preserve">docs/BLACKWELL.md</w:t>
      </w:r>
      <w:r>
        <w:t xml:space="preserve">.</w:t>
      </w:r>
    </w:p>
    <w:bookmarkEnd w:id="149"/>
    <w:bookmarkStart w:id="291" w:name="compute-and-cost."/>
    <w:p>
      <w:pPr>
        <w:pStyle w:val="Heading4"/>
      </w:pPr>
      <w:r>
        <w:t xml:space="preserve">Compute and cost.</w:t>
      </w:r>
    </w:p>
    <w:p>
      <w:pPr>
        <w:pStyle w:val="FirstParagraph"/>
      </w:pPr>
      <w:r>
        <w:t xml:space="preserve">The analysed record is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260</m:t>
        </m:r>
      </m:oMath>
      <w:r>
        <w:t xml:space="preserve"> </w:t>
      </w:r>
      <w:r>
        <w:t xml:space="preserve">model calls: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840</m:t>
        </m:r>
      </m:oMath>
      <w:r>
        <w:t xml:space="preserve"> </w:t>
      </w:r>
      <w:r>
        <w:t xml:space="preserve">across the</w:t>
      </w:r>
      <w:r>
        <w:t xml:space="preserve"> </w:t>
      </w:r>
      <w:r>
        <w:t xml:space="preserve">six-model grid (</w:t>
      </w:r>
      <m:oMath>
        <m:r>
          <m:t>640</m:t>
        </m:r>
      </m:oMath>
      <w:r>
        <w:t xml:space="preserve"> </w:t>
      </w:r>
      <w:r>
        <w:t xml:space="preserve">per model),</w:t>
      </w:r>
      <w:r>
        <w:t xml:space="preserve"> </w:t>
      </w:r>
      <m:oMath>
        <m:r>
          <m:t>640</m:t>
        </m:r>
      </m:oMath>
      <w:r>
        <w:t xml:space="preserve"> </w:t>
      </w:r>
      <w:r>
        <w:t xml:space="preserve">for the behavioural controls,</w:t>
      </w:r>
      <w:r>
        <w:t xml:space="preserve"> </w:t>
      </w:r>
      <m:oMath>
        <m:r>
          <m:t>480</m:t>
        </m:r>
      </m:oMath>
      <w:r>
        <w:t xml:space="preserve"> </w:t>
      </w:r>
      <w:r>
        <w:t xml:space="preserve">for the second source</w:t>
      </w:r>
      <w:r>
        <w:t xml:space="preserve"> </w:t>
      </w:r>
      <w:r>
        <w:t xml:space="preserve">pair and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reranker judgments. The repository holds a good deal more—superseded</w:t>
      </w:r>
      <w:r>
        <w:t xml:space="preserve"> </w:t>
      </w:r>
      <w:r>
        <w:t xml:space="preserve">command-line runs, arm-only re-measurements and diagnostics—none of which is analysed here. We do not report a spend figure: the HTTP endpoints used here return no</w:t>
      </w:r>
      <w:r>
        <w:t xml:space="preserve"> </w:t>
      </w:r>
      <w:r>
        <w:t xml:space="preserve">cost field, so any total would be an estimate from token counts rather than a measurement. The dense/cross-encoder probe ran locally</w:t>
      </w:r>
      <w:r>
        <w:t xml:space="preserve"> </w:t>
      </w:r>
      <w:r>
        <w:t xml:space="preserve">on open weights at zero API cost.</w:t>
      </w:r>
    </w:p>
    <w:bookmarkStart w:id="290" w:name="refs"/>
    <w:bookmarkStart w:id="151" w:name="ref-akdemir2025"/>
    <w:p>
      <w:pPr>
        <w:pStyle w:val="Bibliography"/>
      </w:pPr>
      <w:r>
        <w:t xml:space="preserve">Akdemir, Deniz. 2025.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Distortion: A Decision-Theoretic Framework for Robust Transfer Learning.”</w:t>
      </w:r>
      <w:r>
        <w:t xml:space="preserve"> </w:t>
      </w:r>
      <w:r>
        <w:rPr>
          <w:i/>
          <w:iCs/>
        </w:rPr>
        <w:t xml:space="preserve">arXiv Preprint arXiv:2512.23617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https://arxiv.org/abs/2512.23617</w:t>
        </w:r>
      </w:hyperlink>
      <w:r>
        <w:t xml:space="preserve">.</w:t>
      </w:r>
    </w:p>
    <w:bookmarkEnd w:id="151"/>
    <w:bookmarkStart w:id="153" w:name="ref-alpila2026"/>
    <w:p>
      <w:pPr>
        <w:pStyle w:val="Bibliography"/>
      </w:pPr>
      <w:r>
        <w:t xml:space="preserve">Alpila, Pia. 2026a.</w:t>
      </w:r>
      <w:r>
        <w:t xml:space="preserve"> </w:t>
      </w:r>
      <w:r>
        <w:rPr>
          <w:i/>
          <w:iCs/>
        </w:rPr>
        <w:t xml:space="preserve">Context Selection as Approximate Sufficiency:</w:t>
      </w:r>
      <w:r>
        <w:rPr>
          <w:i/>
          <w:iCs/>
        </w:rPr>
        <w:t xml:space="preserve"> </w:t>
      </w:r>
      <w:r>
        <w:rPr>
          <w:i/>
          <w:iCs/>
        </w:rPr>
        <w:t xml:space="preserve">Le Cam</w:t>
      </w:r>
      <w:r>
        <w:rPr>
          <w:i/>
          <w:iCs/>
        </w:rPr>
        <w:t xml:space="preserve"> </w:t>
      </w:r>
      <w:r>
        <w:rPr>
          <w:i/>
          <w:iCs/>
        </w:rPr>
        <w:t xml:space="preserve">Deficiency and</w:t>
      </w:r>
      <w:r>
        <w:rPr>
          <w:i/>
          <w:iCs/>
        </w:rPr>
        <w:t xml:space="preserve"> </w:t>
      </w:r>
      <w:r>
        <w:rPr>
          <w:i/>
          <w:iCs/>
        </w:rPr>
        <w:t xml:space="preserve">Kolmogorov</w:t>
      </w:r>
      <w:r>
        <w:rPr>
          <w:i/>
          <w:iCs/>
        </w:rPr>
        <w:t xml:space="preserve">’s Structure Function Against a Fixed Decoder</w:t>
      </w:r>
      <w:r>
        <w:t xml:space="preserve">. Zenodo.</w:t>
      </w:r>
      <w:r>
        <w:t xml:space="preserve"> </w:t>
      </w:r>
      <w:hyperlink r:id="rId152">
        <w:r>
          <w:rPr>
            <w:rStyle w:val="Hyperlink"/>
          </w:rPr>
          <w:t xml:space="preserve">https://doi.org/10.5281/zenodo.20800175</w:t>
        </w:r>
      </w:hyperlink>
      <w:r>
        <w:t xml:space="preserve">.</w:t>
      </w:r>
    </w:p>
    <w:bookmarkEnd w:id="153"/>
    <w:bookmarkStart w:id="155" w:name="ref-alpila2026essay"/>
    <w:p>
      <w:pPr>
        <w:pStyle w:val="Bibliography"/>
      </w:pPr>
      <w:r>
        <w:t xml:space="preserve">Alpila, Pia. 2026b.</w:t>
      </w:r>
      <w:r>
        <w:t xml:space="preserve"> </w:t>
      </w:r>
      <w:r>
        <w:rPr>
          <w:i/>
          <w:iCs/>
        </w:rPr>
        <w:t xml:space="preserve">Context Selection Has Been a Solved Problem Since 1951</w:t>
      </w:r>
      <w:r>
        <w:t xml:space="preserve">. Zenodo.</w:t>
      </w:r>
      <w:r>
        <w:t xml:space="preserve"> </w:t>
      </w:r>
      <w:hyperlink r:id="rId154">
        <w:r>
          <w:rPr>
            <w:rStyle w:val="Hyperlink"/>
          </w:rPr>
          <w:t xml:space="preserve">https://doi.org/10.5281/zenodo.20800031</w:t>
        </w:r>
      </w:hyperlink>
      <w:r>
        <w:t xml:space="preserve">.</w:t>
      </w:r>
    </w:p>
    <w:bookmarkEnd w:id="155"/>
    <w:bookmarkStart w:id="157" w:name="ref-alpila2026lmrecall"/>
    <w:p>
      <w:pPr>
        <w:pStyle w:val="Bibliography"/>
      </w:pPr>
      <w:r>
        <w:t xml:space="preserve">Alpila, Pia. 2026c.</w:t>
      </w:r>
      <w:r>
        <w:t xml:space="preserve"> </w:t>
      </w:r>
      <w:r>
        <w:rPr>
          <w:i/>
          <w:iCs/>
        </w:rPr>
        <w:t xml:space="preserve">LM Recall</w:t>
      </w:r>
      <w:r>
        <w:rPr>
          <w:i/>
          <w:iCs/>
        </w:rPr>
        <w:t xml:space="preserve">: Code and Data for</w:t>
      </w:r>
      <w:r>
        <w:rPr>
          <w:i/>
          <w:iCs/>
        </w:rPr>
        <w:t xml:space="preserve"> </w:t>
      </w:r>
      <w:r>
        <w:rPr>
          <w:i/>
          <w:iCs/>
        </w:rPr>
        <w:t xml:space="preserve">“Context Selection as Approximate Sufficiency”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https://doi.org/10.5281/zenodo.20800209</w:t>
        </w:r>
      </w:hyperlink>
      <w:r>
        <w:t xml:space="preserve">.</w:t>
      </w:r>
    </w:p>
    <w:bookmarkEnd w:id="157"/>
    <w:bookmarkStart w:id="158" w:name="ref-auer2016pareto"/>
    <w:p>
      <w:pPr>
        <w:pStyle w:val="Bibliography"/>
      </w:pPr>
      <w:r>
        <w:t xml:space="preserve">Auer, Peter, Chao-Kai Chiang, Ronald Ortner, and Madalina Drugan. 2016.</w:t>
      </w:r>
      <w:r>
        <w:t xml:space="preserve"> </w:t>
      </w:r>
      <w:r>
        <w:t xml:space="preserve">“Pareto Front Identification from Stochastic Bandit Feedback.”</w:t>
      </w:r>
      <w:r>
        <w:t xml:space="preserve"> </w:t>
      </w:r>
      <w:r>
        <w:rPr>
          <w:i/>
          <w:iCs/>
        </w:rPr>
        <w:t xml:space="preserve">Proceedings of the 19th International Conference on Artificial Intelligence and Statistics (AISTATS)</w:t>
      </w:r>
      <w:r>
        <w:t xml:space="preserve">, PMLR, vol. 51: 939–47.</w:t>
      </w:r>
    </w:p>
    <w:bookmarkEnd w:id="158"/>
    <w:bookmarkStart w:id="160" w:name="ref-bertschinger2014nolattice"/>
    <w:p>
      <w:pPr>
        <w:pStyle w:val="Bibliography"/>
      </w:pPr>
      <w:r>
        <w:t xml:space="preserve">Bertschinger, Nils, and Johannes Rauh. 2014.</w:t>
      </w:r>
      <w:r>
        <w:t xml:space="preserve"> </w:t>
      </w:r>
      <w:r>
        <w:t xml:space="preserve">“The</w:t>
      </w:r>
      <w:r>
        <w:t xml:space="preserve"> </w:t>
      </w:r>
      <w:r>
        <w:t xml:space="preserve">Blackwell</w:t>
      </w:r>
      <w:r>
        <w:t xml:space="preserve"> </w:t>
      </w:r>
      <w:r>
        <w:t xml:space="preserve">Relation Defines No Lattice.”</w:t>
      </w:r>
      <w:r>
        <w:t xml:space="preserve"> </w:t>
      </w:r>
      <w:r>
        <w:rPr>
          <w:i/>
          <w:iCs/>
        </w:rPr>
        <w:t xml:space="preserve">2014 IEEE International Symposium on Information Theory (ISIT)</w:t>
      </w:r>
      <w:r>
        <w:t xml:space="preserve">, 2479–83.</w:t>
      </w:r>
      <w:r>
        <w:t xml:space="preserve"> </w:t>
      </w:r>
      <w:hyperlink r:id="rId159">
        <w:r>
          <w:rPr>
            <w:rStyle w:val="Hyperlink"/>
          </w:rPr>
          <w:t xml:space="preserve">https://doi.org/10.1109/ISIT.2014.6875280</w:t>
        </w:r>
      </w:hyperlink>
      <w:r>
        <w:t xml:space="preserve">.</w:t>
      </w:r>
    </w:p>
    <w:bookmarkEnd w:id="160"/>
    <w:bookmarkStart w:id="162" w:name="ref-blackwell1953"/>
    <w:p>
      <w:pPr>
        <w:pStyle w:val="Bibliography"/>
      </w:pPr>
      <w:r>
        <w:t xml:space="preserve">Blackwell, David. 1953.</w:t>
      </w:r>
      <w:r>
        <w:t xml:space="preserve"> </w:t>
      </w:r>
      <w:r>
        <w:t xml:space="preserve">“Equivalent Comparisons of Experiments.”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24 (2): 265–72.</w:t>
      </w:r>
      <w:r>
        <w:t xml:space="preserve"> </w:t>
      </w:r>
      <w:hyperlink r:id="rId161">
        <w:r>
          <w:rPr>
            <w:rStyle w:val="Hyperlink"/>
          </w:rPr>
          <w:t xml:space="preserve">https://doi.org/10.1214/aoms/1177729032</w:t>
        </w:r>
      </w:hyperlink>
      <w:r>
        <w:t xml:space="preserve">.</w:t>
      </w:r>
    </w:p>
    <w:bookmarkEnd w:id="162"/>
    <w:bookmarkStart w:id="163" w:name="ref-bonferroni1936"/>
    <w:p>
      <w:pPr>
        <w:pStyle w:val="Bibliography"/>
      </w:pPr>
      <w:r>
        <w:t xml:space="preserve">Bonferroni, Carlo Emilio. 1936.</w:t>
      </w:r>
      <w:r>
        <w:t xml:space="preserve"> </w:t>
      </w:r>
      <w:r>
        <w:t xml:space="preserve">“Teoria Statistica Delle Classi e Calcolo Delle Probabilità.”</w:t>
      </w:r>
      <w:r>
        <w:t xml:space="preserve"> </w:t>
      </w:r>
      <w:r>
        <w:rPr>
          <w:i/>
          <w:iCs/>
        </w:rPr>
        <w:t xml:space="preserve">Pubblicazioni Del R. Istituto Superiore Di Scienze Economiche e Commerciali Di Firenze</w:t>
      </w:r>
      <w:r>
        <w:t xml:space="preserve"> </w:t>
      </w:r>
      <w:r>
        <w:t xml:space="preserve">8: 3–62.</w:t>
      </w:r>
    </w:p>
    <w:bookmarkEnd w:id="163"/>
    <w:bookmarkStart w:id="165" w:name="ref-bowyer2025clt"/>
    <w:p>
      <w:pPr>
        <w:pStyle w:val="Bibliography"/>
      </w:pPr>
      <w:r>
        <w:t xml:space="preserve">Bowyer, Sam, Laurence Aitchison, and Desi R. Ivanova. 2025.</w:t>
      </w:r>
      <w:r>
        <w:t xml:space="preserve"> </w:t>
      </w:r>
      <w:r>
        <w:t xml:space="preserve">“Position: Don’t Use the</w:t>
      </w:r>
      <w:r>
        <w:t xml:space="preserve"> </w:t>
      </w:r>
      <w:r>
        <w:t xml:space="preserve">CLT</w:t>
      </w:r>
      <w:r>
        <w:t xml:space="preserve"> </w:t>
      </w:r>
      <w:r>
        <w:t xml:space="preserve">in</w:t>
      </w:r>
      <w:r>
        <w:t xml:space="preserve"> </w:t>
      </w:r>
      <w:r>
        <w:t xml:space="preserve">LLM</w:t>
      </w:r>
      <w:r>
        <w:t xml:space="preserve"> </w:t>
      </w:r>
      <w:r>
        <w:t xml:space="preserve">Evals with Fewer Than a Few Hundred Datapoints.”</w:t>
      </w:r>
      <w:r>
        <w:t xml:space="preserve"> </w:t>
      </w:r>
      <w:r>
        <w:rPr>
          <w:i/>
          <w:iCs/>
        </w:rPr>
        <w:t xml:space="preserve">arXiv Preprint arXiv:2503.01747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https://arxiv.org/abs/2503.01747</w:t>
        </w:r>
      </w:hyperlink>
      <w:r>
        <w:t xml:space="preserve">.</w:t>
      </w:r>
    </w:p>
    <w:bookmarkEnd w:id="165"/>
    <w:bookmarkStart w:id="167" w:name="ref-bradley2024garbling"/>
    <w:p>
      <w:pPr>
        <w:pStyle w:val="Bibliography"/>
      </w:pPr>
      <w:r>
        <w:t xml:space="preserve">Bradley, William F. 2024.</w:t>
      </w:r>
      <w:r>
        <w:t xml:space="preserve"> </w:t>
      </w:r>
      <w:r>
        <w:t xml:space="preserve">“Enhancing</w:t>
      </w:r>
      <w:r>
        <w:t xml:space="preserve"> </w:t>
      </w:r>
      <w:r>
        <w:t xml:space="preserve">LLM</w:t>
      </w:r>
      <w:r>
        <w:t xml:space="preserve"> </w:t>
      </w:r>
      <w:r>
        <w:t xml:space="preserve">Evaluations: The Garbling Trick.”</w:t>
      </w:r>
      <w:r>
        <w:t xml:space="preserve"> </w:t>
      </w:r>
      <w:r>
        <w:rPr>
          <w:i/>
          <w:iCs/>
        </w:rPr>
        <w:t xml:space="preserve">arXiv Preprint arXiv:2411.01533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https://arxiv.org/abs/2411.01533</w:t>
        </w:r>
      </w:hyperlink>
      <w:r>
        <w:t xml:space="preserve">.</w:t>
      </w:r>
    </w:p>
    <w:bookmarkEnd w:id="167"/>
    <w:bookmarkStart w:id="169" w:name="ref-carbonell1998"/>
    <w:p>
      <w:pPr>
        <w:pStyle w:val="Bibliography"/>
      </w:pPr>
      <w:r>
        <w:t xml:space="preserve">Carbonell, Jaime, and Jade Goldstein. 1998.</w:t>
      </w:r>
      <w:r>
        <w:t xml:space="preserve"> </w:t>
      </w:r>
      <w:r>
        <w:t xml:space="preserve">“The Use of</w:t>
      </w:r>
      <w:r>
        <w:t xml:space="preserve"> </w:t>
      </w:r>
      <w:r>
        <w:t xml:space="preserve">MMR</w:t>
      </w:r>
      <w:r>
        <w:t xml:space="preserve">, Diversity-Based Reranking for Reordering Documents and Producing Summaries.”</w:t>
      </w:r>
      <w:r>
        <w:t xml:space="preserve"> </w:t>
      </w:r>
      <w:r>
        <w:rPr>
          <w:i/>
          <w:iCs/>
        </w:rPr>
        <w:t xml:space="preserve">Proceedings of the 21st Annual International ACM SIGIR Conference on Research and Development in Information Retrieval</w:t>
      </w:r>
      <w:r>
        <w:t xml:space="preserve">, 335–36.</w:t>
      </w:r>
      <w:r>
        <w:t xml:space="preserve"> </w:t>
      </w:r>
      <w:hyperlink r:id="rId168">
        <w:r>
          <w:rPr>
            <w:rStyle w:val="Hyperlink"/>
          </w:rPr>
          <w:t xml:space="preserve">https://doi.org/10.1145/290941.291025</w:t>
        </w:r>
      </w:hyperlink>
      <w:r>
        <w:t xml:space="preserve">.</w:t>
      </w:r>
    </w:p>
    <w:bookmarkEnd w:id="169"/>
    <w:bookmarkStart w:id="171" w:name="ref-chakraborty2026conformal"/>
    <w:p>
      <w:pPr>
        <w:pStyle w:val="Bibliography"/>
      </w:pPr>
      <w:r>
        <w:t xml:space="preserve">Chakraborty, Debashish, Eugene Yang, Daniel Khashabi, Dawn Lawrie, and Kevin Duh. 2025.</w:t>
      </w:r>
      <w:r>
        <w:t xml:space="preserve"> </w:t>
      </w:r>
      <w:r>
        <w:t xml:space="preserve">“Principled Context Engineering for</w:t>
      </w:r>
      <w:r>
        <w:t xml:space="preserve"> </w:t>
      </w:r>
      <w:r>
        <w:t xml:space="preserve">RAG</w:t>
      </w:r>
      <w:r>
        <w:t xml:space="preserve">: Statistical Guarantees via Conformal Prediction.”</w:t>
      </w:r>
      <w:r>
        <w:t xml:space="preserve"> </w:t>
      </w:r>
      <w:r>
        <w:rPr>
          <w:i/>
          <w:iCs/>
        </w:rPr>
        <w:t xml:space="preserve">arXiv Preprint arXiv:2511.17908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https://arxiv.org/abs/2511.17908</w:t>
        </w:r>
      </w:hyperlink>
      <w:r>
        <w:t xml:space="preserve">.</w:t>
      </w:r>
    </w:p>
    <w:bookmarkEnd w:id="171"/>
    <w:bookmarkStart w:id="173" w:name="ref-conformalip2025"/>
    <w:p>
      <w:pPr>
        <w:pStyle w:val="Bibliography"/>
      </w:pPr>
      <w:r>
        <w:t xml:space="preserve">Chan, Kwan Ho Ryan, Yuyan Ge, Edgar Dobriban, Hamed Hassani, and René Vidal. 2025.</w:t>
      </w:r>
      <w:r>
        <w:t xml:space="preserve"> </w:t>
      </w:r>
      <w:r>
        <w:t xml:space="preserve">“Conformal Information Pursuit for Interactively Guiding Large Language Models.”</w:t>
      </w:r>
      <w:r>
        <w:t xml:space="preserve"> </w:t>
      </w:r>
      <w:r>
        <w:rPr>
          <w:i/>
          <w:iCs/>
        </w:rPr>
        <w:t xml:space="preserve">arXiv Preprint arXiv:2507.03279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https://arxiv.org/abs/2507.03279</w:t>
        </w:r>
      </w:hyperlink>
      <w:r>
        <w:t xml:space="preserve">.</w:t>
      </w:r>
    </w:p>
    <w:bookmarkEnd w:id="173"/>
    <w:bookmarkStart w:id="175" w:name="ref-chen2026deepera"/>
    <w:p>
      <w:pPr>
        <w:pStyle w:val="Bibliography"/>
      </w:pPr>
      <w:r>
        <w:t xml:space="preserve">Chen, Haotian, Qingqing Long, Siyu Pu, et al. 2026.</w:t>
      </w:r>
      <w:r>
        <w:t xml:space="preserve"> </w:t>
      </w:r>
      <w:r>
        <w:t xml:space="preserve">“</w:t>
      </w:r>
      <w:r>
        <w:t xml:space="preserve">DeepEra</w:t>
      </w:r>
      <w:r>
        <w:t xml:space="preserve">: A Deep Evidence Reranking Agent for Scientific Retrieval-Augmented Generated Question Answering.”</w:t>
      </w:r>
      <w:r>
        <w:t xml:space="preserve"> </w:t>
      </w:r>
      <w:r>
        <w:rPr>
          <w:i/>
          <w:iCs/>
        </w:rPr>
        <w:t xml:space="preserve">arXiv Preprint arXiv:2601.16478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https://arxiv.org/abs/2601.16478</w:t>
        </w:r>
      </w:hyperlink>
      <w:r>
        <w:t xml:space="preserve">.</w:t>
      </w:r>
    </w:p>
    <w:bookmarkEnd w:id="175"/>
    <w:bookmarkStart w:id="177" w:name="ref-bedllm2026"/>
    <w:p>
      <w:pPr>
        <w:pStyle w:val="Bibliography"/>
      </w:pPr>
      <w:r>
        <w:t xml:space="preserve">Choudhury, Deepro, Sinead Williamson, Adam Goliński, et al. 2025.</w:t>
      </w:r>
      <w:r>
        <w:t xml:space="preserve"> </w:t>
      </w:r>
      <w:r>
        <w:t xml:space="preserve">“</w:t>
      </w:r>
      <w:r>
        <w:t xml:space="preserve">BED-LLM</w:t>
      </w:r>
      <w:r>
        <w:t xml:space="preserve">: Intelligent Information Gathering with</w:t>
      </w:r>
      <w:r>
        <w:t xml:space="preserve"> </w:t>
      </w:r>
      <w:r>
        <w:t xml:space="preserve">LLMs</w:t>
      </w:r>
      <w:r>
        <w:t xml:space="preserve"> </w:t>
      </w:r>
      <w:r>
        <w:t xml:space="preserve">and Bayesian Experimental Design.”</w:t>
      </w:r>
      <w:r>
        <w:t xml:space="preserve"> </w:t>
      </w:r>
      <w:r>
        <w:rPr>
          <w:i/>
          <w:iCs/>
        </w:rPr>
        <w:t xml:space="preserve">arXiv Preprint arXiv:2508.21184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https://arxiv.org/abs/2508.21184</w:t>
        </w:r>
      </w:hyperlink>
      <w:r>
        <w:t xml:space="preserve">.</w:t>
      </w:r>
    </w:p>
    <w:bookmarkEnd w:id="177"/>
    <w:bookmarkStart w:id="179" w:name="ref-clopperpearson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178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179"/>
    <w:bookmarkStart w:id="181" w:name="ref-cuconasu2024noise"/>
    <w:p>
      <w:pPr>
        <w:pStyle w:val="Bibliography"/>
      </w:pPr>
      <w:r>
        <w:t xml:space="preserve">Cuconasu, Florin, Giovanni Trappolini, Federico Siciliano, et al. 2024.</w:t>
      </w:r>
      <w:r>
        <w:t xml:space="preserve"> </w:t>
      </w:r>
      <w:r>
        <w:t xml:space="preserve">“The Power of Noise: Redefining Retrieval for</w:t>
      </w:r>
      <w:r>
        <w:t xml:space="preserve"> </w:t>
      </w:r>
      <w:r>
        <w:t xml:space="preserve">RAG</w:t>
      </w:r>
      <w:r>
        <w:t xml:space="preserve"> </w:t>
      </w:r>
      <w:r>
        <w:t xml:space="preserve">Systems.”</w:t>
      </w:r>
      <w:r>
        <w:t xml:space="preserve"> </w:t>
      </w:r>
      <w:r>
        <w:rPr>
          <w:i/>
          <w:iCs/>
        </w:rPr>
        <w:t xml:space="preserve">Proceedings of the 47th International ACM SIGIR Conference on Research and Development in Information Retrieval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https://arxiv.org/abs/2401.14887</w:t>
        </w:r>
      </w:hyperlink>
      <w:r>
        <w:t xml:space="preserve">.</w:t>
      </w:r>
    </w:p>
    <w:bookmarkEnd w:id="181"/>
    <w:bookmarkStart w:id="183" w:name="ref-dai2025seper"/>
    <w:p>
      <w:pPr>
        <w:pStyle w:val="Bibliography"/>
      </w:pPr>
      <w:r>
        <w:t xml:space="preserve">Dai, Lu, Yijie Xu, Jinhui Ye, Hao Liu, and Hui Xiong. 2025.</w:t>
      </w:r>
      <w:r>
        <w:t xml:space="preserve"> </w:t>
      </w:r>
      <w:r>
        <w:t xml:space="preserve">“</w:t>
      </w:r>
      <w:r>
        <w:t xml:space="preserve">SePer</w:t>
      </w:r>
      <w:r>
        <w:t xml:space="preserve">: Measure Retrieval Utility Through the Lens of Semantic Perplexity Reduction.”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https://arxiv.org/abs/2503.01478</w:t>
        </w:r>
      </w:hyperlink>
      <w:r>
        <w:t xml:space="preserve">.</w:t>
      </w:r>
    </w:p>
    <w:bookmarkEnd w:id="183"/>
    <w:bookmarkStart w:id="185" w:name="ref-dong2013lessismore"/>
    <w:p>
      <w:pPr>
        <w:pStyle w:val="Bibliography"/>
      </w:pPr>
      <w:r>
        <w:t xml:space="preserve">Dong, Xin Luna, Barna Saha, and Divesh Srivastava. 2012.</w:t>
      </w:r>
      <w:r>
        <w:t xml:space="preserve"> </w:t>
      </w:r>
      <w:r>
        <w:t xml:space="preserve">“Less Is More: Selecting Sources Wisely for Integration.”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6 (2): 37–48.</w:t>
      </w:r>
      <w:r>
        <w:t xml:space="preserve"> </w:t>
      </w:r>
      <w:hyperlink r:id="rId184">
        <w:r>
          <w:rPr>
            <w:rStyle w:val="Hyperlink"/>
          </w:rPr>
          <w:t xml:space="preserve">http://www.vldb.org/pvldb/vol6/p37-dong.pdf</w:t>
        </w:r>
      </w:hyperlink>
      <w:r>
        <w:t xml:space="preserve">.</w:t>
      </w:r>
    </w:p>
    <w:bookmarkEnd w:id="185"/>
    <w:bookmarkStart w:id="187" w:name="ref-contexthurts2025"/>
    <w:p>
      <w:pPr>
        <w:pStyle w:val="Bibliography"/>
      </w:pPr>
      <w:r>
        <w:t xml:space="preserve">Du, Yufeng, Minyang Tian, Srikanth Ronanki, et al. 2025.</w:t>
      </w:r>
      <w:r>
        <w:t xml:space="preserve"> </w:t>
      </w:r>
      <w:r>
        <w:t xml:space="preserve">“Context Length Alone Hurts</w:t>
      </w:r>
      <w:r>
        <w:t xml:space="preserve"> </w:t>
      </w:r>
      <w:r>
        <w:t xml:space="preserve">LLM</w:t>
      </w:r>
      <w:r>
        <w:t xml:space="preserve"> </w:t>
      </w:r>
      <w:r>
        <w:t xml:space="preserve">Performance Despite Perfect Retrieval.”</w:t>
      </w:r>
      <w:r>
        <w:t xml:space="preserve"> </w:t>
      </w:r>
      <w:r>
        <w:rPr>
          <w:i/>
          <w:iCs/>
        </w:rPr>
        <w:t xml:space="preserve">arXiv Preprint arXiv:2510.05381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https://arxiv.org/abs/2510.05381</w:t>
        </w:r>
      </w:hyperlink>
      <w:r>
        <w:t xml:space="preserve">.</w:t>
      </w:r>
    </w:p>
    <w:bookmarkEnd w:id="187"/>
    <w:bookmarkStart w:id="189" w:name="ref-dvoretzky1956"/>
    <w:p>
      <w:pPr>
        <w:pStyle w:val="Bibliography"/>
      </w:pPr>
      <w:r>
        <w:t xml:space="preserve">Dvoretzky, A., J. Kiefer, and J. Wolfowitz. 1956.</w:t>
      </w:r>
      <w:r>
        <w:t xml:space="preserve"> </w:t>
      </w:r>
      <w:r>
        <w:t xml:space="preserve">“Asymptotic Minimax Character of the Sample Distribution Function and of the Classical Multinomial Estimator.”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27 (3): 642–69.</w:t>
      </w:r>
      <w:r>
        <w:t xml:space="preserve"> </w:t>
      </w:r>
      <w:hyperlink r:id="rId188">
        <w:r>
          <w:rPr>
            <w:rStyle w:val="Hyperlink"/>
          </w:rPr>
          <w:t xml:space="preserve">https://doi.org/10.1214/aoms/1177728174</w:t>
        </w:r>
      </w:hyperlink>
      <w:r>
        <w:t xml:space="preserve">.</w:t>
      </w:r>
    </w:p>
    <w:bookmarkEnd w:id="189"/>
    <w:bookmarkStart w:id="190" w:name="ref-ethayarajh2022"/>
    <w:p>
      <w:pPr>
        <w:pStyle w:val="Bibliography"/>
      </w:pPr>
      <w:r>
        <w:t xml:space="preserve">Ethayarajh, Kawin, Yejin Choi, and Swabha Swayamdipta. 2022.</w:t>
      </w:r>
      <w:r>
        <w:t xml:space="preserve"> </w:t>
      </w:r>
      <w:r>
        <w:t xml:space="preserve">“Understanding Dataset Difficulty with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-Usable Information.”</w:t>
      </w:r>
      <w:r>
        <w:t xml:space="preserve"> </w:t>
      </w:r>
      <w:r>
        <w:rPr>
          <w:i/>
          <w:iCs/>
        </w:rPr>
        <w:t xml:space="preserve">Proceedings of the 39th International Conference on Machine Learning (ICML)</w:t>
      </w:r>
      <w:r>
        <w:t xml:space="preserve">, PMLR, vol. 162: 5988–6008.</w:t>
      </w:r>
    </w:p>
    <w:bookmarkEnd w:id="190"/>
    <w:bookmarkStart w:id="192" w:name="ref-rank4gen2026"/>
    <w:p>
      <w:pPr>
        <w:pStyle w:val="Bibliography"/>
      </w:pPr>
      <w:r>
        <w:t xml:space="preserve">Fan, Yongqi, Yuxiang Chu, Zhentao Xia, et al. 2026.</w:t>
      </w:r>
      <w:r>
        <w:t xml:space="preserve"> </w:t>
      </w:r>
      <w:r>
        <w:t xml:space="preserve">“</w:t>
      </w:r>
      <w:r>
        <w:t xml:space="preserve">Rank4Gen</w:t>
      </w:r>
      <w:r>
        <w:t xml:space="preserve">:</w:t>
      </w:r>
      <w:r>
        <w:t xml:space="preserve"> </w:t>
      </w:r>
      <w:r>
        <w:t xml:space="preserve">RAG</w:t>
      </w:r>
      <w:r>
        <w:t xml:space="preserve">-Preference-Aligned Document Set Selection and Ranking.”</w:t>
      </w:r>
      <w:r>
        <w:t xml:space="preserve"> </w:t>
      </w:r>
      <w:r>
        <w:rPr>
          <w:i/>
          <w:iCs/>
        </w:rPr>
        <w:t xml:space="preserve">arXiv Preprint arXiv:2601.11273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https://arxiv.org/abs/2601.11273</w:t>
        </w:r>
      </w:hyperlink>
      <w:r>
        <w:t xml:space="preserve">.</w:t>
      </w:r>
    </w:p>
    <w:bookmarkEnd w:id="192"/>
    <w:bookmarkStart w:id="194" w:name="ref-fosse2025"/>
    <w:p>
      <w:pPr>
        <w:pStyle w:val="Bibliography"/>
      </w:pPr>
      <w:r>
        <w:t xml:space="preserve">Fosse, Loïc, Frederic Bechet, Benoit Favre, et al. 2025.</w:t>
      </w:r>
      <w:r>
        <w:t xml:space="preserve"> </w:t>
      </w:r>
      <w:r>
        <w:t xml:space="preserve">“Statistical Deficiency for Task Inclusion Estimation.”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(ACL), Volume 1: Long Papers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https://arxiv.org/abs/2503.05491</w:t>
        </w:r>
      </w:hyperlink>
      <w:r>
        <w:t xml:space="preserve">.</w:t>
      </w:r>
    </w:p>
    <w:bookmarkEnd w:id="194"/>
    <w:bookmarkStart w:id="196" w:name="ref-frohmann2026orderconsistent"/>
    <w:p>
      <w:pPr>
        <w:pStyle w:val="Bibliography"/>
      </w:pPr>
      <w:r>
        <w:t xml:space="preserve">Frohmann, Markus, Mahdiyar Alavi, Elizabeth Lingg, and Navid Rekabsaz. 2026.</w:t>
      </w:r>
      <w:r>
        <w:t xml:space="preserve"> </w:t>
      </w:r>
      <w:r>
        <w:t xml:space="preserve">“Equal Ranking Quality, Different Decisions: Training Order-Consistent</w:t>
      </w:r>
      <w:r>
        <w:t xml:space="preserve"> </w:t>
      </w:r>
      <w:r>
        <w:t xml:space="preserve">LLM</w:t>
      </w:r>
      <w:r>
        <w:t xml:space="preserve"> </w:t>
      </w:r>
      <w:r>
        <w:t xml:space="preserve">Scorers.”</w:t>
      </w:r>
      <w:r>
        <w:t xml:space="preserve"> </w:t>
      </w:r>
      <w:r>
        <w:rPr>
          <w:i/>
          <w:iCs/>
        </w:rPr>
        <w:t xml:space="preserve">arXiv Preprint arXiv:2608.26762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https://arxiv.org/abs/2608.26762</w:t>
        </w:r>
      </w:hyperlink>
      <w:r>
        <w:t xml:space="preserve">.</w:t>
      </w:r>
    </w:p>
    <w:bookmarkEnd w:id="196"/>
    <w:bookmarkStart w:id="198" w:name="ref-fuhr2008"/>
    <w:p>
      <w:pPr>
        <w:pStyle w:val="Bibliography"/>
      </w:pPr>
      <w:r>
        <w:t xml:space="preserve">Fuhr, Norbert. 2008.</w:t>
      </w:r>
      <w:r>
        <w:t xml:space="preserve"> </w:t>
      </w:r>
      <w:r>
        <w:t xml:space="preserve">“A Probability Ranking Principle for Interactive Information Retrieval.”</w:t>
      </w:r>
      <w:r>
        <w:t xml:space="preserve"> </w:t>
      </w:r>
      <w:r>
        <w:rPr>
          <w:i/>
          <w:iCs/>
        </w:rPr>
        <w:t xml:space="preserve">Information Retrieval</w:t>
      </w:r>
      <w:r>
        <w:t xml:space="preserve"> </w:t>
      </w:r>
      <w:r>
        <w:t xml:space="preserve">11 (3): 251–65.</w:t>
      </w:r>
      <w:r>
        <w:t xml:space="preserve"> </w:t>
      </w:r>
      <w:hyperlink r:id="rId197">
        <w:r>
          <w:rPr>
            <w:rStyle w:val="Hyperlink"/>
          </w:rPr>
          <w:t xml:space="preserve">https://doi.org/10.1007/s10791-008-9045-0</w:t>
        </w:r>
      </w:hyperlink>
      <w:r>
        <w:t xml:space="preserve">.</w:t>
      </w:r>
    </w:p>
    <w:bookmarkEnd w:id="198"/>
    <w:bookmarkStart w:id="200" w:name="ref-gao2024modelequality"/>
    <w:p>
      <w:pPr>
        <w:pStyle w:val="Bibliography"/>
      </w:pPr>
      <w:r>
        <w:t xml:space="preserve">Gao, Irena, Percy Liang, and Carlos Guestrin. 2025.</w:t>
      </w:r>
      <w:r>
        <w:t xml:space="preserve"> </w:t>
      </w:r>
      <w:r>
        <w:t xml:space="preserve">“Model Equality Testing: Which Model Is This</w:t>
      </w:r>
      <w:r>
        <w:t xml:space="preserve"> </w:t>
      </w:r>
      <w:r>
        <w:t xml:space="preserve">API</w:t>
      </w:r>
      <w:r>
        <w:t xml:space="preserve"> </w:t>
      </w:r>
      <w:r>
        <w:t xml:space="preserve">Serving?”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https://arxiv.org/abs/2410.20247</w:t>
        </w:r>
      </w:hyperlink>
      <w:r>
        <w:t xml:space="preserve">.</w:t>
      </w:r>
    </w:p>
    <w:bookmarkEnd w:id="200"/>
    <w:bookmarkStart w:id="202" w:name="ref-pacms2026"/>
    <w:p>
      <w:pPr>
        <w:pStyle w:val="Bibliography"/>
      </w:pPr>
      <w:r>
        <w:t xml:space="preserve">Ghulyani, Manu, Arunabh Singh, Karan Bharadwaj, Ankit Nath, and Suranjan Goswami. 2026.</w:t>
      </w:r>
      <w:r>
        <w:t xml:space="preserve"> </w:t>
      </w:r>
      <w:r>
        <w:t xml:space="preserve">“</w:t>
      </w:r>
      <w:r>
        <w:t xml:space="preserve">PACMS</w:t>
      </w:r>
      <w:r>
        <w:t xml:space="preserve">: Submodular Context Selection as a Pluggable Engine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rPr>
          <w:i/>
          <w:iCs/>
        </w:rPr>
        <w:t xml:space="preserve">arXiv Preprint arXiv:2606.20047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https://arxiv.org/abs/2606.20047</w:t>
        </w:r>
      </w:hyperlink>
      <w:r>
        <w:t xml:space="preserve">.</w:t>
      </w:r>
    </w:p>
    <w:bookmarkEnd w:id="202"/>
    <w:bookmarkStart w:id="204" w:name="ref-giannetti2026interference"/>
    <w:p>
      <w:pPr>
        <w:pStyle w:val="Bibliography"/>
      </w:pPr>
      <w:r>
        <w:t xml:space="preserve">Giannetti, Christian, Giovanni Trappolini, Nicola Tonellotto, Fabrizio Silvestri, and Pietro Liò. 2026.</w:t>
      </w:r>
      <w:r>
        <w:t xml:space="preserve"> </w:t>
      </w:r>
      <w:r>
        <w:t xml:space="preserve">“The Mechanics of Interference: Defusing Distractors in</w:t>
      </w:r>
      <w:r>
        <w:t xml:space="preserve"> </w:t>
      </w:r>
      <w:r>
        <w:t xml:space="preserve">RAG</w:t>
      </w:r>
      <w:r>
        <w:t xml:space="preserve"> </w:t>
      </w:r>
      <w:r>
        <w:t xml:space="preserve">via Sparse Autoencoder Interventions.”</w:t>
      </w:r>
      <w:r>
        <w:t xml:space="preserve"> </w:t>
      </w:r>
      <w:r>
        <w:rPr>
          <w:i/>
          <w:iCs/>
        </w:rPr>
        <w:t xml:space="preserve">Findings of the Association for Computational Linguistics: ACL 2026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https://aclanthology.org/2026.findings-acl.583/</w:t>
        </w:r>
      </w:hyperlink>
      <w:r>
        <w:t xml:space="preserve">.</w:t>
      </w:r>
    </w:p>
    <w:bookmarkEnd w:id="204"/>
    <w:bookmarkStart w:id="206" w:name="ref-guu2020realm"/>
    <w:p>
      <w:pPr>
        <w:pStyle w:val="Bibliography"/>
      </w:pPr>
      <w:r>
        <w:t xml:space="preserve">Guu, Kelvin, Kenton Lee, Zora Tung, Panupong Pasupat, and Ming-Wei Chang. 2020.</w:t>
      </w:r>
      <w:r>
        <w:t xml:space="preserve"> </w:t>
      </w:r>
      <w:r>
        <w:t xml:space="preserve">“</w:t>
      </w:r>
      <w:r>
        <w:t xml:space="preserve">REALM</w:t>
      </w:r>
      <w:r>
        <w:t xml:space="preserve">: Retrieval-Augmented Language Model Pre-Training.”</w:t>
      </w:r>
      <w:r>
        <w:t xml:space="preserve"> </w:t>
      </w:r>
      <w:r>
        <w:rPr>
          <w:i/>
          <w:iCs/>
        </w:rPr>
        <w:t xml:space="preserve">Proceedings of the 37th International Conference on Machine Learning (ICML)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https://arxiv.org/abs/2002.08909</w:t>
        </w:r>
      </w:hyperlink>
      <w:r>
        <w:t xml:space="preserve">.</w:t>
      </w:r>
    </w:p>
    <w:bookmarkEnd w:id="206"/>
    <w:bookmarkStart w:id="208" w:name="ref-hagstrom2025druid"/>
    <w:p>
      <w:pPr>
        <w:pStyle w:val="Bibliography"/>
      </w:pPr>
      <w:r>
        <w:t xml:space="preserve">Hagström, Lovisa, Sara Vera Marjanović, Haeun Yu, et al. 2025.</w:t>
      </w:r>
      <w:r>
        <w:t xml:space="preserve"> </w:t>
      </w:r>
      <w:r>
        <w:t xml:space="preserve">“A Reality Check on Context Utilisation for Retrieval-Augmented Generation.”</w:t>
      </w:r>
      <w:r>
        <w:t xml:space="preserve"> </w:t>
      </w:r>
      <w:r>
        <w:rPr>
          <w:i/>
          <w:iCs/>
        </w:rPr>
        <w:t xml:space="preserve">Proceedings of the 63rd Annual Meeting of the Association for Computational Linguistics (ACL)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https://arxiv.org/abs/2412.17031</w:t>
        </w:r>
      </w:hyperlink>
      <w:r>
        <w:t xml:space="preserve">.</w:t>
      </w:r>
    </w:p>
    <w:bookmarkEnd w:id="208"/>
    <w:bookmarkStart w:id="210" w:name="ref-hagstrom2025lexical"/>
    <w:p>
      <w:pPr>
        <w:pStyle w:val="Bibliography"/>
      </w:pPr>
      <w:r>
        <w:t xml:space="preserve">Hagström, Lovisa, Ercong Nie, Ruben Halifa, Helmut Schmid, Richard Johansson, and Alexander Junge. 2025.</w:t>
      </w:r>
      <w:r>
        <w:t xml:space="preserve"> </w:t>
      </w:r>
      <w:r>
        <w:t xml:space="preserve">“Language Model Re-Rankers Are Fooled by Lexical Similarities.”</w:t>
      </w:r>
      <w:r>
        <w:t xml:space="preserve"> </w:t>
      </w:r>
      <w:r>
        <w:rPr>
          <w:i/>
          <w:iCs/>
        </w:rPr>
        <w:t xml:space="preserve">Proceedings of the Eighth Fact Extraction and VERification Workshop (FEVER)</w:t>
      </w:r>
      <w:r>
        <w:t xml:space="preserve"> </w:t>
      </w:r>
      <w:r>
        <w:t xml:space="preserve">(Vienna, Austria), 18–33.</w:t>
      </w:r>
      <w:r>
        <w:t xml:space="preserve"> </w:t>
      </w:r>
      <w:hyperlink r:id="rId209">
        <w:r>
          <w:rPr>
            <w:rStyle w:val="Hyperlink"/>
          </w:rPr>
          <w:t xml:space="preserve">https://aclanthology.org/2025.fever-1.2/</w:t>
        </w:r>
      </w:hyperlink>
      <w:r>
        <w:t xml:space="preserve">.</w:t>
      </w:r>
    </w:p>
    <w:bookmarkEnd w:id="210"/>
    <w:bookmarkStart w:id="212" w:name="ref-halevy2023learnings"/>
    <w:p>
      <w:pPr>
        <w:pStyle w:val="Bibliography"/>
      </w:pPr>
      <w:r>
        <w:t xml:space="preserve">Halevy, Alon, and Jane Dwivedi-Yu. 2023.</w:t>
      </w:r>
      <w:r>
        <w:t xml:space="preserve"> </w:t>
      </w:r>
      <w:r>
        <w:t xml:space="preserve">“Learnings from Data Integration for Augmented Language Models.”</w:t>
      </w:r>
      <w:r>
        <w:t xml:space="preserve"> </w:t>
      </w:r>
      <w:r>
        <w:rPr>
          <w:i/>
          <w:iCs/>
        </w:rPr>
        <w:t xml:space="preserve">arXiv Preprint arXiv:2304.04576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https://arxiv.org/abs/2304.04576</w:t>
        </w:r>
      </w:hyperlink>
      <w:r>
        <w:t xml:space="preserve">.</w:t>
      </w:r>
    </w:p>
    <w:bookmarkEnd w:id="212"/>
    <w:bookmarkStart w:id="214" w:name="ref-hong2025contextrot"/>
    <w:p>
      <w:pPr>
        <w:pStyle w:val="Bibliography"/>
      </w:pPr>
      <w:r>
        <w:t xml:space="preserve">Hong, Kelly, Anton Troynikov, and Jeff Huber. 2025.</w:t>
      </w:r>
      <w:r>
        <w:t xml:space="preserve"> </w:t>
      </w:r>
      <w:r>
        <w:rPr>
          <w:i/>
          <w:iCs/>
        </w:rPr>
        <w:t xml:space="preserve">Context Rot: How Increasing Input Tokens Impacts</w:t>
      </w:r>
      <w:r>
        <w:rPr>
          <w:i/>
          <w:iCs/>
        </w:rPr>
        <w:t xml:space="preserve"> </w:t>
      </w:r>
      <w:r>
        <w:rPr>
          <w:i/>
          <w:iCs/>
        </w:rPr>
        <w:t xml:space="preserve">LLM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. Technical Report. Chroma.</w:t>
      </w:r>
      <w:r>
        <w:t xml:space="preserve"> </w:t>
      </w:r>
      <w:hyperlink r:id="rId213">
        <w:r>
          <w:rPr>
            <w:rStyle w:val="Hyperlink"/>
          </w:rPr>
          <w:t xml:space="preserve">https://www.trychroma.com/research/context-rot</w:t>
        </w:r>
      </w:hyperlink>
      <w:r>
        <w:t xml:space="preserve">.</w:t>
      </w:r>
    </w:p>
    <w:bookmarkEnd w:id="214"/>
    <w:bookmarkStart w:id="216" w:name="ref-huang2025gammacover"/>
    <w:p>
      <w:pPr>
        <w:pStyle w:val="Bibliography"/>
      </w:pPr>
      <w:r>
        <w:t xml:space="preserve">Huang, Hai. 2025.</w:t>
      </w:r>
      <w:r>
        <w:t xml:space="preserve"> </w:t>
      </w:r>
      <w:r>
        <w:t xml:space="preserve">“Directed Information</w:t>
      </w:r>
      <w:r>
        <w:t xml:space="preserve"> </w:t>
      </w:r>
      <m:oMath>
        <m:r>
          <m:t>γ</m:t>
        </m:r>
      </m:oMath>
      <w:r>
        <w:t xml:space="preserve">-Covering: An Information-Theoretic Framework for Context Engineering.”</w:t>
      </w:r>
      <w:r>
        <w:t xml:space="preserve"> </w:t>
      </w:r>
      <w:r>
        <w:rPr>
          <w:i/>
          <w:iCs/>
        </w:rPr>
        <w:t xml:space="preserve">arXiv Preprint arXiv:2510.00079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https://arxiv.org/abs/2510.00079</w:t>
        </w:r>
      </w:hyperlink>
      <w:r>
        <w:t xml:space="preserve">.</w:t>
      </w:r>
    </w:p>
    <w:bookmarkEnd w:id="216"/>
    <w:bookmarkStart w:id="218" w:name="ref-jain2025contextualutility"/>
    <w:p>
      <w:pPr>
        <w:pStyle w:val="Bibliography"/>
      </w:pPr>
      <w:r>
        <w:t xml:space="preserve">Jain, Akriti, and Aparna Garimella. 2025.</w:t>
      </w:r>
      <w:r>
        <w:t xml:space="preserve"> </w:t>
      </w:r>
      <w:r>
        <w:t xml:space="preserve">“Modeling Contextual Passage Utility for Multihop Question Answering.”</w:t>
      </w:r>
      <w:r>
        <w:t xml:space="preserve"> </w:t>
      </w:r>
      <w:r>
        <w:rPr>
          <w:i/>
          <w:iCs/>
        </w:rPr>
        <w:t xml:space="preserve">Proceedings of IJCNLP-AACL 2025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https://arxiv.org/abs/2512.06464</w:t>
        </w:r>
      </w:hyperlink>
      <w:r>
        <w:t xml:space="preserve">.</w:t>
      </w:r>
    </w:p>
    <w:bookmarkEnd w:id="218"/>
    <w:bookmarkStart w:id="220" w:name="ref-optiset2026"/>
    <w:p>
      <w:pPr>
        <w:pStyle w:val="Bibliography"/>
      </w:pPr>
      <w:r>
        <w:t xml:space="preserve">Jiang, Yi, Sendong Zhao, Jianbo Li, et al. 2026.</w:t>
      </w:r>
      <w:r>
        <w:t xml:space="preserve"> </w:t>
      </w:r>
      <w:r>
        <w:t xml:space="preserve">“</w:t>
      </w:r>
      <w:r>
        <w:t xml:space="preserve">OptiSet</w:t>
      </w:r>
      <w:r>
        <w:t xml:space="preserve">: Unified Optimizing Set Selection and Ranking for Retrieval-Augmented Generation.”</w:t>
      </w:r>
      <w:r>
        <w:t xml:space="preserve"> </w:t>
      </w:r>
      <w:r>
        <w:rPr>
          <w:i/>
          <w:iCs/>
        </w:rPr>
        <w:t xml:space="preserve">arXiv Preprint arXiv:2601.05027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https://arxiv.org/abs/2601.05027</w:t>
        </w:r>
      </w:hyperlink>
      <w:r>
        <w:t xml:space="preserve">.</w:t>
      </w:r>
    </w:p>
    <w:bookmarkEnd w:id="220"/>
    <w:bookmarkStart w:id="222" w:name="ref-jin2024longrag"/>
    <w:p>
      <w:pPr>
        <w:pStyle w:val="Bibliography"/>
      </w:pPr>
      <w:r>
        <w:t xml:space="preserve">Jin, Bowen, Jinsung Yoon, Jiawei Han, and Sercan O. Arik. 2024.</w:t>
      </w:r>
      <w:r>
        <w:t xml:space="preserve"> </w:t>
      </w:r>
      <w:r>
        <w:t xml:space="preserve">“Long-Context</w:t>
      </w:r>
      <w:r>
        <w:t xml:space="preserve"> </w:t>
      </w:r>
      <w:r>
        <w:t xml:space="preserve">LLMs</w:t>
      </w:r>
      <w:r>
        <w:t xml:space="preserve"> </w:t>
      </w:r>
      <w:r>
        <w:t xml:space="preserve">Meet</w:t>
      </w:r>
      <w:r>
        <w:t xml:space="preserve"> </w:t>
      </w:r>
      <w:r>
        <w:t xml:space="preserve">RAG</w:t>
      </w:r>
      <w:r>
        <w:t xml:space="preserve">: Overcoming Challenges for Long Inputs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arXiv:2410.05983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https://arxiv.org/abs/2410.05983</w:t>
        </w:r>
      </w:hyperlink>
      <w:r>
        <w:t xml:space="preserve">.</w:t>
      </w:r>
    </w:p>
    <w:bookmarkEnd w:id="222"/>
    <w:bookmarkStart w:id="224" w:name="ref-sufficientcontext2024"/>
    <w:p>
      <w:pPr>
        <w:pStyle w:val="Bibliography"/>
      </w:pPr>
      <w:r>
        <w:t xml:space="preserve">Joren, Hailey, Jianyi Zhang, Chun-Sung Ferng, Da-Cheng Juan, Ankur Taly, and Cyrus Rashtchian. 2024.</w:t>
      </w:r>
      <w:r>
        <w:t xml:space="preserve"> </w:t>
      </w:r>
      <w:r>
        <w:t xml:space="preserve">“Sufficient Context: A New Lens on Retrieval Augmented Generation Systems.”</w:t>
      </w:r>
      <w:r>
        <w:t xml:space="preserve"> </w:t>
      </w:r>
      <w:r>
        <w:rPr>
          <w:i/>
          <w:iCs/>
        </w:rPr>
        <w:t xml:space="preserve">arXiv Preprint arXiv:2411.06037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https://arxiv.org/abs/2411.06037</w:t>
        </w:r>
      </w:hyperlink>
      <w:r>
        <w:t xml:space="preserve">.</w:t>
      </w:r>
    </w:p>
    <w:bookmarkEnd w:id="224"/>
    <w:bookmarkStart w:id="226" w:name="ref-khan2025blackwell"/>
    <w:p>
      <w:pPr>
        <w:pStyle w:val="Bibliography"/>
      </w:pPr>
      <w:r>
        <w:t xml:space="preserve">Khan, M. Ali, Haomiao Yu, and Zhixiang Zhang. 2025.</w:t>
      </w:r>
      <w:r>
        <w:t xml:space="preserve"> </w:t>
      </w:r>
      <w:r>
        <w:t xml:space="preserve">“A Simple Proof of</w:t>
      </w:r>
      <w:r>
        <w:t xml:space="preserve"> </w:t>
      </w:r>
      <w:r>
        <w:t xml:space="preserve">Blackwell</w:t>
      </w:r>
      <w:r>
        <w:t xml:space="preserve">’s Theorem on the Comparison of Experiments for a General State Space.”</w:t>
      </w:r>
      <w:r>
        <w:t xml:space="preserve"> </w:t>
      </w:r>
      <w:r>
        <w:rPr>
          <w:i/>
          <w:iCs/>
        </w:rPr>
        <w:t xml:space="preserve">Economics Letters</w:t>
      </w:r>
      <w:r>
        <w:t xml:space="preserve"> </w:t>
      </w:r>
      <w:r>
        <w:t xml:space="preserve">247: 112146.</w:t>
      </w:r>
      <w:r>
        <w:t xml:space="preserve"> </w:t>
      </w:r>
      <w:hyperlink r:id="rId225">
        <w:r>
          <w:rPr>
            <w:rStyle w:val="Hyperlink"/>
          </w:rPr>
          <w:t xml:space="preserve">https://doi.org/10.1016/j.econlet.2024.112146</w:t>
        </w:r>
      </w:hyperlink>
      <w:r>
        <w:t xml:space="preserve">.</w:t>
      </w:r>
    </w:p>
    <w:bookmarkEnd w:id="226"/>
    <w:bookmarkStart w:id="228" w:name="ref-khattab2020colbert"/>
    <w:p>
      <w:pPr>
        <w:pStyle w:val="Bibliography"/>
      </w:pPr>
      <w:r>
        <w:t xml:space="preserve">Khattab, Omar, and Matei Zaharia. 2020.</w:t>
      </w:r>
      <w:r>
        <w:t xml:space="preserve"> </w:t>
      </w:r>
      <w:r>
        <w:t xml:space="preserve">“</w:t>
      </w:r>
      <w:r>
        <w:t xml:space="preserve">ColBERT</w:t>
      </w:r>
      <w:r>
        <w:t xml:space="preserve">: Efficient and Effective Passage Search via Contextualized Late Interaction over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43rd International ACM SIGIR Conference on Research and Development in Information Retrieval</w:t>
      </w:r>
      <w:r>
        <w:t xml:space="preserve">, 39–48.</w:t>
      </w:r>
      <w:r>
        <w:t xml:space="preserve"> </w:t>
      </w:r>
      <w:hyperlink r:id="rId227">
        <w:r>
          <w:rPr>
            <w:rStyle w:val="Hyperlink"/>
          </w:rPr>
          <w:t xml:space="preserve">https://doi.org/10.1145/3397271.3401075</w:t>
        </w:r>
      </w:hyperlink>
      <w:r>
        <w:t xml:space="preserve">.</w:t>
      </w:r>
    </w:p>
    <w:bookmarkEnd w:id="228"/>
    <w:bookmarkStart w:id="230" w:name="ref-lecam1964"/>
    <w:p>
      <w:pPr>
        <w:pStyle w:val="Bibliography"/>
      </w:pPr>
      <w:r>
        <w:t xml:space="preserve">Le Cam, Lucien. 1964.</w:t>
      </w:r>
      <w:r>
        <w:t xml:space="preserve"> </w:t>
      </w:r>
      <w:r>
        <w:t xml:space="preserve">“Sufficiency and Approximate Sufficiency.”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35 (4): 1419–55.</w:t>
      </w:r>
      <w:r>
        <w:t xml:space="preserve"> </w:t>
      </w:r>
      <w:hyperlink r:id="rId229">
        <w:r>
          <w:rPr>
            <w:rStyle w:val="Hyperlink"/>
          </w:rPr>
          <w:t xml:space="preserve">https://doi.org/10.1214/aoms/1177700372</w:t>
        </w:r>
      </w:hyperlink>
      <w:r>
        <w:t xml:space="preserve">.</w:t>
      </w:r>
    </w:p>
    <w:bookmarkEnd w:id="230"/>
    <w:bookmarkStart w:id="232" w:name="ref-lecam1986"/>
    <w:p>
      <w:pPr>
        <w:pStyle w:val="Bibliography"/>
      </w:pPr>
      <w:r>
        <w:t xml:space="preserve">Le Cam, Lucien. 1986.</w:t>
      </w:r>
      <w:r>
        <w:t xml:space="preserve"> </w:t>
      </w:r>
      <w:r>
        <w:rPr>
          <w:i/>
          <w:iCs/>
        </w:rPr>
        <w:t xml:space="preserve">Asymptotic Methods in Statistical Decision Theory</w:t>
      </w:r>
      <w:r>
        <w:t xml:space="preserve">. Springer Series in Statistics. Springer.</w:t>
      </w:r>
      <w:r>
        <w:t xml:space="preserve"> </w:t>
      </w:r>
      <w:hyperlink r:id="rId231">
        <w:r>
          <w:rPr>
            <w:rStyle w:val="Hyperlink"/>
          </w:rPr>
          <w:t xml:space="preserve">https://doi.org/10.1007/978-1-4612-4946-7</w:t>
        </w:r>
      </w:hyperlink>
      <w:r>
        <w:t xml:space="preserve">.</w:t>
      </w:r>
    </w:p>
    <w:bookmarkEnd w:id="232"/>
    <w:bookmarkStart w:id="234" w:name="ref-relevanceutility2025"/>
    <w:p>
      <w:pPr>
        <w:pStyle w:val="Bibliography"/>
      </w:pPr>
      <w:r>
        <w:t xml:space="preserve">LeVine, Will, and Bijan Varjavand. 2025.</w:t>
      </w:r>
      <w:r>
        <w:t xml:space="preserve"> </w:t>
      </w:r>
      <w:r>
        <w:t xml:space="preserve">“Relevance Isn’t All You Need: Scaling</w:t>
      </w:r>
      <w:r>
        <w:t xml:space="preserve"> </w:t>
      </w:r>
      <w:r>
        <w:t xml:space="preserve">RAG</w:t>
      </w:r>
      <w:r>
        <w:t xml:space="preserve"> </w:t>
      </w:r>
      <w:r>
        <w:t xml:space="preserve">Systems with Inference-Time Compute via Multi-Criteria Reranking.”</w:t>
      </w:r>
      <w:r>
        <w:t xml:space="preserve"> </w:t>
      </w:r>
      <w:r>
        <w:rPr>
          <w:i/>
          <w:iCs/>
        </w:rPr>
        <w:t xml:space="preserve">arXiv Preprint arXiv:2504.07104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https://arxiv.org/abs/2504.07104</w:t>
        </w:r>
      </w:hyperlink>
      <w:r>
        <w:t xml:space="preserve">.</w:t>
      </w:r>
    </w:p>
    <w:bookmarkEnd w:id="234"/>
    <w:bookmarkStart w:id="236" w:name="ref-levy2025moredocs"/>
    <w:p>
      <w:pPr>
        <w:pStyle w:val="Bibliography"/>
      </w:pPr>
      <w:r>
        <w:t xml:space="preserve">Levy, Shahar, Nir Mazor, Lihi Shalmon, Michael Hassid, and Gabriel Stanovsky. 2025.</w:t>
      </w:r>
      <w:r>
        <w:t xml:space="preserve"> </w:t>
      </w:r>
      <w:r>
        <w:t xml:space="preserve">“More Documents, Same Length: Isolating the Challenge of Multiple Documents in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arXiv:2503.04388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https://arxiv.org/abs/2503.04388</w:t>
        </w:r>
      </w:hyperlink>
      <w:r>
        <w:t xml:space="preserve">.</w:t>
      </w:r>
    </w:p>
    <w:bookmarkEnd w:id="236"/>
    <w:bookmarkStart w:id="238" w:name="ref-longcontextdegrade2026"/>
    <w:p>
      <w:pPr>
        <w:pStyle w:val="Bibliography"/>
      </w:pPr>
      <w:r>
        <w:t xml:space="preserve">Liu, Ming. 2026.</w:t>
      </w:r>
      <w:r>
        <w:t xml:space="preserve"> </w:t>
      </w:r>
      <w:r>
        <w:t xml:space="preserve">“More Is Not Always Better: Cross-Component Interference in</w:t>
      </w:r>
      <w:r>
        <w:t xml:space="preserve"> </w:t>
      </w:r>
      <w:r>
        <w:t xml:space="preserve">LLM</w:t>
      </w:r>
      <w:r>
        <w:t xml:space="preserve"> </w:t>
      </w:r>
      <w:r>
        <w:t xml:space="preserve">Agent Scaffolding.”</w:t>
      </w:r>
      <w:r>
        <w:t xml:space="preserve"> </w:t>
      </w:r>
      <w:r>
        <w:rPr>
          <w:i/>
          <w:iCs/>
        </w:rPr>
        <w:t xml:space="preserve">arXiv Preprint arXiv:2605.05716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https://arxiv.org/abs/2605.05716</w:t>
        </w:r>
      </w:hyperlink>
      <w:r>
        <w:t xml:space="preserve">.</w:t>
      </w:r>
    </w:p>
    <w:bookmarkEnd w:id="238"/>
    <w:bookmarkStart w:id="240" w:name="ref-liu2024lost"/>
    <w:p>
      <w:pPr>
        <w:pStyle w:val="Bibliography"/>
      </w:pPr>
      <w:r>
        <w:t xml:space="preserve">Liu, Nelson F., Kevin Lin, John Hewitt, et al. 2024.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12: 157–73.</w:t>
      </w:r>
      <w:r>
        <w:t xml:space="preserve"> </w:t>
      </w:r>
      <w:hyperlink r:id="rId239">
        <w:r>
          <w:rPr>
            <w:rStyle w:val="Hyperlink"/>
          </w:rPr>
          <w:t xml:space="preserve">https://arxiv.org/abs/2307.03172</w:t>
        </w:r>
      </w:hyperlink>
      <w:r>
        <w:t xml:space="preserve">.</w:t>
      </w:r>
    </w:p>
    <w:bookmarkEnd w:id="240"/>
    <w:bookmarkStart w:id="242" w:name="ref-miller2024errorbars"/>
    <w:p>
      <w:pPr>
        <w:pStyle w:val="Bibliography"/>
      </w:pPr>
      <w:r>
        <w:t xml:space="preserve">Miller, Evan. 2024.</w:t>
      </w:r>
      <w:r>
        <w:t xml:space="preserve"> </w:t>
      </w:r>
      <w:r>
        <w:t xml:space="preserve">“Adding Error Bars to Evals: A Statistical Approach to Language Model Evaluations.”</w:t>
      </w:r>
      <w:r>
        <w:t xml:space="preserve"> </w:t>
      </w:r>
      <w:r>
        <w:rPr>
          <w:i/>
          <w:iCs/>
        </w:rPr>
        <w:t xml:space="preserve">arXiv Preprint arXiv:2411.00640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https://arxiv.org/abs/2411.00640</w:t>
        </w:r>
      </w:hyperlink>
      <w:r>
        <w:t xml:space="preserve">.</w:t>
      </w:r>
    </w:p>
    <w:bookmarkEnd w:id="242"/>
    <w:bookmarkStart w:id="244" w:name="ref-nematov2025shapley"/>
    <w:p>
      <w:pPr>
        <w:pStyle w:val="Bibliography"/>
      </w:pPr>
      <w:r>
        <w:t xml:space="preserve">Nematov, Ikhtiyor, Tarik Kalai, Elizaveta Kuzmenko, et al. 2025.</w:t>
      </w:r>
      <w:r>
        <w:t xml:space="preserve"> </w:t>
      </w:r>
      <w:r>
        <w:t xml:space="preserve">“Source Attribution in Retrieval-Augmented Generation.”</w:t>
      </w:r>
      <w:r>
        <w:t xml:space="preserve"> </w:t>
      </w:r>
      <w:r>
        <w:rPr>
          <w:i/>
          <w:iCs/>
        </w:rPr>
        <w:t xml:space="preserve">Machine Learning and Knowledge Discovery in Databases (ECML PKDD 2025)</w:t>
      </w:r>
      <w:r>
        <w:t xml:space="preserve">.</w:t>
      </w:r>
      <w:r>
        <w:t xml:space="preserve"> </w:t>
      </w:r>
      <w:hyperlink r:id="rId243">
        <w:r>
          <w:rPr>
            <w:rStyle w:val="Hyperlink"/>
          </w:rPr>
          <w:t xml:space="preserve">https://doi.org/10.1007/978-3-032-19099-4_23</w:t>
        </w:r>
      </w:hyperlink>
      <w:r>
        <w:t xml:space="preserve">.</w:t>
      </w:r>
    </w:p>
    <w:bookmarkEnd w:id="244"/>
    <w:bookmarkStart w:id="246" w:name="ref-blackwellrep2026"/>
    <w:p>
      <w:pPr>
        <w:pStyle w:val="Bibliography"/>
      </w:pPr>
      <w:r>
        <w:t xml:space="preserve">Paxton, Napoleon. 2026.</w:t>
      </w:r>
      <w:r>
        <w:t xml:space="preserve"> </w:t>
      </w:r>
      <w:r>
        <w:t xml:space="preserve">“The Theorems of Dr. David Blackwell and Their Contributions to Artificial Intelligence.”</w:t>
      </w:r>
      <w:r>
        <w:t xml:space="preserve"> </w:t>
      </w:r>
      <w:r>
        <w:rPr>
          <w:i/>
          <w:iCs/>
        </w:rPr>
        <w:t xml:space="preserve">arXiv Preprint arXiv:2604.06621</w:t>
      </w:r>
      <w:r>
        <w:t xml:space="preserve">.</w:t>
      </w:r>
      <w:r>
        <w:t xml:space="preserve"> </w:t>
      </w:r>
      <w:hyperlink r:id="rId245">
        <w:r>
          <w:rPr>
            <w:rStyle w:val="Hyperlink"/>
          </w:rPr>
          <w:t xml:space="preserve">https://arxiv.org/abs/2604.06621</w:t>
        </w:r>
      </w:hyperlink>
      <w:r>
        <w:t xml:space="preserve">.</w:t>
      </w:r>
    </w:p>
    <w:bookmarkEnd w:id="246"/>
    <w:bookmarkStart w:id="248" w:name="ref-sureRAG2026"/>
    <w:p>
      <w:pPr>
        <w:pStyle w:val="Bibliography"/>
      </w:pPr>
      <w:r>
        <w:t xml:space="preserve">Qiu, Jingxi, Zeyu Han, and Cheng Huang. 2026.</w:t>
      </w:r>
      <w:r>
        <w:t xml:space="preserve"> </w:t>
      </w:r>
      <w:r>
        <w:t xml:space="preserve">“</w:t>
      </w:r>
      <w:r>
        <w:t xml:space="preserve">SURE-RAG</w:t>
      </w:r>
      <w:r>
        <w:t xml:space="preserve">: Sufficiency and Uncertainty-Aware Evidence Verification for Selective Retrieval-Augmented Generation.”</w:t>
      </w:r>
      <w:r>
        <w:t xml:space="preserve"> </w:t>
      </w:r>
      <w:r>
        <w:rPr>
          <w:i/>
          <w:iCs/>
        </w:rPr>
        <w:t xml:space="preserve">arXiv Preprint arXiv:2605.03534</w:t>
      </w:r>
      <w:r>
        <w:t xml:space="preserve">.</w:t>
      </w:r>
      <w:r>
        <w:t xml:space="preserve"> </w:t>
      </w:r>
      <w:hyperlink r:id="rId247">
        <w:r>
          <w:rPr>
            <w:rStyle w:val="Hyperlink"/>
          </w:rPr>
          <w:t xml:space="preserve">https://arxiv.org/abs/2605.03534</w:t>
        </w:r>
      </w:hyperlink>
      <w:r>
        <w:t xml:space="preserve">.</w:t>
      </w:r>
    </w:p>
    <w:bookmarkEnd w:id="248"/>
    <w:bookmarkStart w:id="250" w:name="ref-robertson1977"/>
    <w:p>
      <w:pPr>
        <w:pStyle w:val="Bibliography"/>
      </w:pPr>
      <w:r>
        <w:t xml:space="preserve">Robertson, Stephen E. 1977.</w:t>
      </w:r>
      <w:r>
        <w:t xml:space="preserve"> </w:t>
      </w:r>
      <w:r>
        <w:t xml:space="preserve">“The Probability Ranking Principle in</w:t>
      </w:r>
      <w:r>
        <w:t xml:space="preserve"> </w:t>
      </w:r>
      <w:r>
        <w:t xml:space="preserve">IR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Documentation</w:t>
      </w:r>
      <w:r>
        <w:t xml:space="preserve"> </w:t>
      </w:r>
      <w:r>
        <w:t xml:space="preserve">33 (4): 294–304.</w:t>
      </w:r>
      <w:r>
        <w:t xml:space="preserve"> </w:t>
      </w:r>
      <w:hyperlink r:id="rId249">
        <w:r>
          <w:rPr>
            <w:rStyle w:val="Hyperlink"/>
          </w:rPr>
          <w:t xml:space="preserve">https://doi.org/10.1108/eb026647</w:t>
        </w:r>
      </w:hyperlink>
      <w:r>
        <w:t xml:space="preserve">.</w:t>
      </w:r>
    </w:p>
    <w:bookmarkEnd w:id="250"/>
    <w:bookmarkStart w:id="252" w:name="ref-vanrooyen2014"/>
    <w:p>
      <w:pPr>
        <w:pStyle w:val="Bibliography"/>
      </w:pPr>
      <w:r>
        <w:t xml:space="preserve">Rooyen, Brendan van, and Robert C. Williamson. 2014.</w:t>
      </w:r>
      <w:r>
        <w:t xml:space="preserve"> </w:t>
      </w:r>
      <w:r>
        <w:t xml:space="preserve">“</w:t>
      </w:r>
      <w:r>
        <w:t xml:space="preserve">Le Cam</w:t>
      </w:r>
      <w:r>
        <w:t xml:space="preserve"> </w:t>
      </w:r>
      <w:r>
        <w:t xml:space="preserve">Meets</w:t>
      </w:r>
      <w:r>
        <w:t xml:space="preserve"> </w:t>
      </w:r>
      <w:r>
        <w:t xml:space="preserve">LeCun</w:t>
      </w:r>
      <w:r>
        <w:t xml:space="preserve">: Deficiency and Generic Feature Learning.”</w:t>
      </w:r>
      <w:r>
        <w:t xml:space="preserve"> </w:t>
      </w:r>
      <w:r>
        <w:rPr>
          <w:i/>
          <w:iCs/>
        </w:rPr>
        <w:t xml:space="preserve">arXiv Preprint arXiv:1402.4884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https://arxiv.org/abs/1402.4884</w:t>
        </w:r>
      </w:hyperlink>
      <w:r>
        <w:t xml:space="preserve">.</w:t>
      </w:r>
    </w:p>
    <w:bookmarkEnd w:id="252"/>
    <w:bookmarkStart w:id="254" w:name="ref-shi2023distracted"/>
    <w:p>
      <w:pPr>
        <w:pStyle w:val="Bibliography"/>
      </w:pPr>
      <w:r>
        <w:t xml:space="preserve">Shi, Freda, Xinyun Chen, Kanishka Misra, et al. 2023.</w:t>
      </w:r>
      <w:r>
        <w:t xml:space="preserve"> </w:t>
      </w:r>
      <w:r>
        <w:t xml:space="preserve">“Large Language Models Can Be Easily Distracted by Irrelevant Context.”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https://arxiv.org/abs/2302.00093</w:t>
        </w:r>
      </w:hyperlink>
      <w:r>
        <w:t xml:space="preserve">.</w:t>
      </w:r>
    </w:p>
    <w:bookmarkEnd w:id="254"/>
    <w:bookmarkStart w:id="256" w:name="ref-shi2023replug"/>
    <w:p>
      <w:pPr>
        <w:pStyle w:val="Bibliography"/>
      </w:pPr>
      <w:r>
        <w:t xml:space="preserve">Shi, Weijia, Sewon Min, Michihiro Yasunaga, et al. 2023.</w:t>
      </w:r>
      <w:r>
        <w:t xml:space="preserve"> </w:t>
      </w:r>
      <w:r>
        <w:t xml:space="preserve">“</w:t>
      </w:r>
      <w:r>
        <w:t xml:space="preserve">REPLUG</w:t>
      </w:r>
      <w:r>
        <w:t xml:space="preserve">: Retrieval-Augmented Black-Box Language Models.”</w:t>
      </w:r>
      <w:r>
        <w:t xml:space="preserve"> </w:t>
      </w:r>
      <w:r>
        <w:rPr>
          <w:i/>
          <w:iCs/>
        </w:rPr>
        <w:t xml:space="preserve">arXiv Preprint arXiv:2301.12652</w:t>
      </w:r>
      <w:r>
        <w:t xml:space="preserve">.</w:t>
      </w:r>
      <w:r>
        <w:t xml:space="preserve"> </w:t>
      </w:r>
      <w:hyperlink r:id="rId255">
        <w:r>
          <w:rPr>
            <w:rStyle w:val="Hyperlink"/>
          </w:rPr>
          <w:t xml:space="preserve">https://arxiv.org/abs/2301.12652</w:t>
        </w:r>
      </w:hyperlink>
      <w:r>
        <w:t xml:space="preserve">.</w:t>
      </w:r>
    </w:p>
    <w:bookmarkEnd w:id="256"/>
    <w:bookmarkStart w:id="258" w:name="ref-sun2023rankgpt"/>
    <w:p>
      <w:pPr>
        <w:pStyle w:val="Bibliography"/>
      </w:pPr>
      <w:r>
        <w:t xml:space="preserve">Sun, Weiwei, Lingyong Yan, Xinyu Ma, et al. 2023.</w:t>
      </w:r>
      <w:r>
        <w:t xml:space="preserve"> </w:t>
      </w:r>
      <w:r>
        <w:t xml:space="preserve">“Is</w:t>
      </w:r>
      <w:r>
        <w:t xml:space="preserve"> </w:t>
      </w:r>
      <w:r>
        <w:t xml:space="preserve">ChatGPT</w:t>
      </w:r>
      <w:r>
        <w:t xml:space="preserve"> </w:t>
      </w:r>
      <w:r>
        <w:t xml:space="preserve">Good at Search?</w:t>
      </w:r>
      <w:r>
        <w:t xml:space="preserve"> </w:t>
      </w:r>
      <w:r>
        <w:t xml:space="preserve">Investigating</w:t>
      </w:r>
      <w:r>
        <w:t xml:space="preserve"> </w:t>
      </w:r>
      <w:r>
        <w:t xml:space="preserve">Large Language Models as Re-Ranking Agents.”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 (EMNLP)</w:t>
      </w:r>
      <w:r>
        <w:t xml:space="preserve">.</w:t>
      </w:r>
      <w:r>
        <w:t xml:space="preserve"> </w:t>
      </w:r>
      <w:hyperlink r:id="rId257">
        <w:r>
          <w:rPr>
            <w:rStyle w:val="Hyperlink"/>
          </w:rPr>
          <w:t xml:space="preserve">https://arxiv.org/abs/2304.09542</w:t>
        </w:r>
      </w:hyperlink>
      <w:r>
        <w:t xml:space="preserve">.</w:t>
      </w:r>
    </w:p>
    <w:bookmarkEnd w:id="258"/>
    <w:bookmarkStart w:id="260" w:name="ref-torgersen1991"/>
    <w:p>
      <w:pPr>
        <w:pStyle w:val="Bibliography"/>
      </w:pPr>
      <w:r>
        <w:t xml:space="preserve">Torgersen, Erik N. 1991.</w:t>
      </w:r>
      <w:r>
        <w:t xml:space="preserve"> </w:t>
      </w:r>
      <w:r>
        <w:rPr>
          <w:i/>
          <w:iCs/>
        </w:rPr>
        <w:t xml:space="preserve">Comparison of Statistical Experiments</w:t>
      </w:r>
      <w:r>
        <w:t xml:space="preserve">. Vol. 36. Encyclopedia of Mathematics and Its Applications. Cambridge University Press.</w:t>
      </w:r>
      <w:r>
        <w:t xml:space="preserve"> </w:t>
      </w:r>
      <w:hyperlink r:id="rId259">
        <w:r>
          <w:rPr>
            <w:rStyle w:val="Hyperlink"/>
          </w:rPr>
          <w:t xml:space="preserve">https://doi.org/10.1017/CBO9780511666353</w:t>
        </w:r>
      </w:hyperlink>
      <w:r>
        <w:t xml:space="preserve">.</w:t>
      </w:r>
    </w:p>
    <w:bookmarkEnd w:id="260"/>
    <w:bookmarkStart w:id="262" w:name="ref-inficl2024"/>
    <w:p>
      <w:pPr>
        <w:pStyle w:val="Bibliography"/>
      </w:pPr>
      <w:r>
        <w:t xml:space="preserve">Vinay, M. S., Minh-Hao Van, and Xintao Wu. 2024.</w:t>
      </w:r>
      <w:r>
        <w:t xml:space="preserve"> </w:t>
      </w:r>
      <w:r>
        <w:t xml:space="preserve">“In-Context Learning Demonstration Selection via Influence Analysis.”</w:t>
      </w:r>
      <w:r>
        <w:t xml:space="preserve"> </w:t>
      </w:r>
      <w:r>
        <w:rPr>
          <w:i/>
          <w:iCs/>
        </w:rPr>
        <w:t xml:space="preserve">arXiv Preprint arXiv:2402.11750</w:t>
      </w:r>
      <w:r>
        <w:t xml:space="preserve">.</w:t>
      </w:r>
      <w:r>
        <w:t xml:space="preserve"> </w:t>
      </w:r>
      <w:hyperlink r:id="rId261">
        <w:r>
          <w:rPr>
            <w:rStyle w:val="Hyperlink"/>
          </w:rPr>
          <w:t xml:space="preserve">https://arxiv.org/abs/2402.11750</w:t>
        </w:r>
      </w:hyperlink>
      <w:r>
        <w:t xml:space="preserve">.</w:t>
      </w:r>
    </w:p>
    <w:bookmarkEnd w:id="262"/>
    <w:bookmarkStart w:id="264" w:name="ref-wang2026whencontext"/>
    <w:p>
      <w:pPr>
        <w:pStyle w:val="Bibliography"/>
      </w:pPr>
      <w:r>
        <w:t xml:space="preserve">Wang, Dingzirui, Xuanliang Zhang, Keyan Xu, Qingfu Zhu, Wanxiang Che, and Yang Deng. 2026.</w:t>
      </w:r>
      <w:r>
        <w:t xml:space="preserve"> </w:t>
      </w:r>
      <w:r>
        <w:t xml:space="preserve">“When Does Context Help? Error Dynamics of Contextual Information in Large Language Models.”</w:t>
      </w:r>
      <w:r>
        <w:t xml:space="preserve"> </w:t>
      </w:r>
      <w:r>
        <w:rPr>
          <w:i/>
          <w:iCs/>
        </w:rPr>
        <w:t xml:space="preserve">arXiv Preprint arXiv:2602.08294</w:t>
      </w:r>
      <w:r>
        <w:t xml:space="preserve">.</w:t>
      </w:r>
      <w:r>
        <w:t xml:space="preserve"> </w:t>
      </w:r>
      <w:hyperlink r:id="rId263">
        <w:r>
          <w:rPr>
            <w:rStyle w:val="Hyperlink"/>
          </w:rPr>
          <w:t xml:space="preserve">https://arxiv.org/abs/2602.08294</w:t>
        </w:r>
      </w:hyperlink>
      <w:r>
        <w:t xml:space="preserve">.</w:t>
      </w:r>
    </w:p>
    <w:bookmarkEnd w:id="264"/>
    <w:bookmarkStart w:id="266" w:name="ref-wang2009portfolio"/>
    <w:p>
      <w:pPr>
        <w:pStyle w:val="Bibliography"/>
      </w:pPr>
      <w:r>
        <w:t xml:space="preserve">Wang, Jun, and Jianhan Zhu. 2009.</w:t>
      </w:r>
      <w:r>
        <w:t xml:space="preserve"> </w:t>
      </w:r>
      <w:r>
        <w:t xml:space="preserve">“Portfolio Theory of Information Retrieval.”</w:t>
      </w:r>
      <w:r>
        <w:t xml:space="preserve"> </w:t>
      </w:r>
      <w:r>
        <w:rPr>
          <w:i/>
          <w:iCs/>
        </w:rPr>
        <w:t xml:space="preserve">Proceedings of the 32nd International ACM SIGIR Conference on Research and Development in Information Retrieval</w:t>
      </w:r>
      <w:r>
        <w:t xml:space="preserve">, 115–22.</w:t>
      </w:r>
      <w:r>
        <w:t xml:space="preserve"> </w:t>
      </w:r>
      <w:hyperlink r:id="rId265">
        <w:r>
          <w:rPr>
            <w:rStyle w:val="Hyperlink"/>
          </w:rPr>
          <w:t xml:space="preserve">https://doi.org/10.1145/1571941.1571963</w:t>
        </w:r>
      </w:hyperlink>
      <w:r>
        <w:t xml:space="preserve">.</w:t>
      </w:r>
    </w:p>
    <w:bookmarkEnd w:id="266"/>
    <w:bookmarkStart w:id="268" w:name="ref-demoshapley2024"/>
    <w:p>
      <w:pPr>
        <w:pStyle w:val="Bibliography"/>
      </w:pPr>
      <w:r>
        <w:t xml:space="preserve">Xie, Shan, Man Luo, Chadly Daniel Stern, Mengnan Du, and Lu Cheng. 2024.</w:t>
      </w:r>
      <w:r>
        <w:t xml:space="preserve"> </w:t>
      </w:r>
      <w:r>
        <w:t xml:space="preserve">“</w:t>
      </w:r>
      <w:r>
        <w:t xml:space="preserve">DemoShapley</w:t>
      </w:r>
      <w:r>
        <w:t xml:space="preserve">: Valuation of Demonstrations for in-Context Learning.”</w:t>
      </w:r>
      <w:r>
        <w:t xml:space="preserve"> </w:t>
      </w:r>
      <w:r>
        <w:rPr>
          <w:i/>
          <w:iCs/>
        </w:rPr>
        <w:t xml:space="preserve">arXiv Preprint arXiv:2410.07523</w:t>
      </w:r>
      <w:r>
        <w:t xml:space="preserve">.</w:t>
      </w:r>
      <w:r>
        <w:t xml:space="preserve"> </w:t>
      </w:r>
      <w:hyperlink r:id="rId267">
        <w:r>
          <w:rPr>
            <w:rStyle w:val="Hyperlink"/>
          </w:rPr>
          <w:t xml:space="preserve">https://arxiv.org/abs/2410.07523</w:t>
        </w:r>
      </w:hyperlink>
      <w:r>
        <w:t xml:space="preserve">.</w:t>
      </w:r>
    </w:p>
    <w:bookmarkEnd w:id="268"/>
    <w:bookmarkStart w:id="270" w:name="ref-xu2024knowledgeconflicts"/>
    <w:p>
      <w:pPr>
        <w:pStyle w:val="Bibliography"/>
      </w:pPr>
      <w:r>
        <w:t xml:space="preserve">Xu, Rongwu, Zehan Qi, Zhijiang Guo, et al. 2024.</w:t>
      </w:r>
      <w:r>
        <w:t xml:space="preserve"> </w:t>
      </w:r>
      <w:r>
        <w:t xml:space="preserve">“Knowledge Conflicts for</w:t>
      </w:r>
      <w:r>
        <w:t xml:space="preserve"> </w:t>
      </w:r>
      <w:r>
        <w:t xml:space="preserve">LLMs</w:t>
      </w:r>
      <w:r>
        <w:t xml:space="preserve">: A Survey.”</w:t>
      </w:r>
      <w:r>
        <w:t xml:space="preserve"> </w:t>
      </w:r>
      <w:r>
        <w:rPr>
          <w:i/>
          <w:iCs/>
        </w:rPr>
        <w:t xml:space="preserve">Proceedings of the 2024 Conference on Empirical Methods in Natural Language Processing (EMNLP)</w:t>
      </w:r>
      <w:r>
        <w:t xml:space="preserve">.</w:t>
      </w:r>
      <w:r>
        <w:t xml:space="preserve"> </w:t>
      </w:r>
      <w:hyperlink r:id="rId269">
        <w:r>
          <w:rPr>
            <w:rStyle w:val="Hyperlink"/>
          </w:rPr>
          <w:t xml:space="preserve">https://arxiv.org/abs/2403.08319</w:t>
        </w:r>
      </w:hyperlink>
      <w:r>
        <w:t xml:space="preserve">.</w:t>
      </w:r>
    </w:p>
    <w:bookmarkEnd w:id="270"/>
    <w:bookmarkStart w:id="272" w:name="ref-ye2023ceil"/>
    <w:p>
      <w:pPr>
        <w:pStyle w:val="Bibliography"/>
      </w:pPr>
      <w:r>
        <w:t xml:space="preserve">Ye, Jiacheng, Zhiyong Wu, Jiangtao Feng, Tao Yu, and Lingpeng Kong. 2023.</w:t>
      </w:r>
      <w:r>
        <w:t xml:space="preserve"> </w:t>
      </w:r>
      <w:r>
        <w:t xml:space="preserve">“Compositional Exemplars for in-Context Learning.”</w:t>
      </w:r>
      <w:r>
        <w:t xml:space="preserve"> </w:t>
      </w:r>
      <w:r>
        <w:rPr>
          <w:i/>
          <w:iCs/>
        </w:rPr>
        <w:t xml:space="preserve">Proceedings of the 40th International Conference on Machine Learning (ICML)</w:t>
      </w:r>
      <w:r>
        <w:t xml:space="preserve">.</w:t>
      </w:r>
      <w:r>
        <w:t xml:space="preserve"> </w:t>
      </w:r>
      <w:hyperlink r:id="rId271">
        <w:r>
          <w:rPr>
            <w:rStyle w:val="Hyperlink"/>
          </w:rPr>
          <w:t xml:space="preserve">https://arxiv.org/abs/2302.05698</w:t>
        </w:r>
      </w:hyperlink>
      <w:r>
        <w:t xml:space="preserve">.</w:t>
      </w:r>
    </w:p>
    <w:bookmarkEnd w:id="272"/>
    <w:bookmarkStart w:id="274" w:name="ref-rankrag2024"/>
    <w:p>
      <w:pPr>
        <w:pStyle w:val="Bibliography"/>
      </w:pPr>
      <w:r>
        <w:t xml:space="preserve">Yu, Yue, Wei Ping, Zihan Liu, et al. 2024.</w:t>
      </w:r>
      <w:r>
        <w:t xml:space="preserve"> </w:t>
      </w:r>
      <w:r>
        <w:t xml:space="preserve">“</w:t>
      </w:r>
      <w:r>
        <w:t xml:space="preserve">RankRAG</w:t>
      </w:r>
      <w:r>
        <w:t xml:space="preserve">: Unifying Context Ranking with Retrieval-Augmented Generation in</w:t>
      </w:r>
      <w:r>
        <w:t xml:space="preserve"> </w:t>
      </w:r>
      <w:r>
        <w:t xml:space="preserve">LLMs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arXiv:2407.02485</w:t>
      </w:r>
      <w:r>
        <w:t xml:space="preserve">.</w:t>
      </w:r>
      <w:r>
        <w:t xml:space="preserve"> </w:t>
      </w:r>
      <w:hyperlink r:id="rId273">
        <w:r>
          <w:rPr>
            <w:rStyle w:val="Hyperlink"/>
          </w:rPr>
          <w:t xml:space="preserve">https://arxiv.org/abs/2407.02485</w:t>
        </w:r>
      </w:hyperlink>
      <w:r>
        <w:t xml:space="preserve">.</w:t>
      </w:r>
    </w:p>
    <w:bookmarkEnd w:id="274"/>
    <w:bookmarkStart w:id="276" w:name="ref-cale2025"/>
    <w:p>
      <w:pPr>
        <w:pStyle w:val="Bibliography"/>
      </w:pPr>
      <w:r>
        <w:t xml:space="preserve">Yuan, Xiaowei, Zhao Yang, Ziyang Huang, et al. 2025.</w:t>
      </w:r>
      <w:r>
        <w:t xml:space="preserve"> </w:t>
      </w:r>
      <w:r>
        <w:t xml:space="preserve">“Exploiting Contextual Knowledge in</w:t>
      </w:r>
      <w:r>
        <w:t xml:space="preserve"> </w:t>
      </w:r>
      <w:r>
        <w:t xml:space="preserve">LLMs</w:t>
      </w:r>
      <w:r>
        <w:t xml:space="preserve"> </w:t>
      </w:r>
      <w:r>
        <w:t xml:space="preserve">Through</w:t>
      </w:r>
      <w:r>
        <w:t xml:space="preserve"> </w:t>
      </w:r>
      <w:r>
        <w:t xml:space="preserve">V</w:t>
      </w:r>
      <w:r>
        <w:t xml:space="preserve">-Usable Information Based Layer Enhancement.”</w:t>
      </w:r>
      <w:r>
        <w:t xml:space="preserve"> </w:t>
      </w:r>
      <w:r>
        <w:rPr>
          <w:i/>
          <w:iCs/>
        </w:rPr>
        <w:t xml:space="preserve">arXiv Preprint arXiv:2504.15630</w:t>
      </w:r>
      <w:r>
        <w:t xml:space="preserve">.</w:t>
      </w:r>
      <w:r>
        <w:t xml:space="preserve"> </w:t>
      </w:r>
      <w:hyperlink r:id="rId275">
        <w:r>
          <w:rPr>
            <w:rStyle w:val="Hyperlink"/>
          </w:rPr>
          <w:t xml:space="preserve">https://arxiv.org/abs/2504.15630</w:t>
        </w:r>
      </w:hyperlink>
      <w:r>
        <w:t xml:space="preserve">.</w:t>
      </w:r>
    </w:p>
    <w:bookmarkEnd w:id="276"/>
    <w:bookmarkStart w:id="278" w:name="ref-zhang2025llmutility"/>
    <w:p>
      <w:pPr>
        <w:pStyle w:val="Bibliography"/>
      </w:pPr>
      <w:r>
        <w:t xml:space="preserve">Zhang, Hengran, Keping Bi, Jiafeng Guo, et al. 2025.</w:t>
      </w:r>
      <w:r>
        <w:t xml:space="preserve"> </w:t>
      </w:r>
      <w:r>
        <w:t xml:space="preserve">“</w:t>
      </w:r>
      <w:r>
        <w:t xml:space="preserve">LLM</w:t>
      </w:r>
      <w:r>
        <w:t xml:space="preserve">-Specific Utility for Retrieval-Augmented Generation.”</w:t>
      </w:r>
      <w:r>
        <w:t xml:space="preserve"> </w:t>
      </w:r>
      <w:r>
        <w:rPr>
          <w:i/>
          <w:iCs/>
        </w:rPr>
        <w:t xml:space="preserve">arXiv Preprint arXiv:2510.11358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https://arxiv.org/abs/2510.11358</w:t>
        </w:r>
      </w:hyperlink>
      <w:r>
        <w:t xml:space="preserve">.</w:t>
      </w:r>
    </w:p>
    <w:bookmarkEnd w:id="278"/>
    <w:bookmarkStart w:id="280" w:name="ref-zhang2026utility"/>
    <w:p>
      <w:pPr>
        <w:pStyle w:val="Bibliography"/>
      </w:pPr>
      <w:r>
        <w:t xml:space="preserve">Zhang, Hengran, Minghao Tang, Keping Bi, and Jiafeng Guo. 2026.</w:t>
      </w:r>
      <w:r>
        <w:t xml:space="preserve"> </w:t>
      </w:r>
      <w:r>
        <w:t xml:space="preserve">“Beyond Relevance: Utility-Centric Retrieval in the</w:t>
      </w:r>
      <w:r>
        <w:t xml:space="preserve"> </w:t>
      </w:r>
      <w:r>
        <w:t xml:space="preserve">LLM</w:t>
      </w:r>
      <w:r>
        <w:t xml:space="preserve"> </w:t>
      </w:r>
      <w:r>
        <w:t xml:space="preserve">Era.”</w:t>
      </w:r>
      <w:r>
        <w:t xml:space="preserve"> </w:t>
      </w:r>
      <w:r>
        <w:rPr>
          <w:i/>
          <w:iCs/>
        </w:rPr>
        <w:t xml:space="preserve">arXiv Preprint arXiv:2604.08920</w:t>
      </w:r>
      <w:r>
        <w:t xml:space="preserve">.</w:t>
      </w:r>
      <w:r>
        <w:t xml:space="preserve"> </w:t>
      </w:r>
      <w:hyperlink r:id="rId279">
        <w:r>
          <w:rPr>
            <w:rStyle w:val="Hyperlink"/>
          </w:rPr>
          <w:t xml:space="preserve">https://arxiv.org/abs/2604.08920</w:t>
        </w:r>
      </w:hyperlink>
      <w:r>
        <w:t xml:space="preserve">.</w:t>
      </w:r>
    </w:p>
    <w:bookmarkEnd w:id="280"/>
    <w:bookmarkStart w:id="282" w:name="ref-zhang2026blackwellagents"/>
    <w:p>
      <w:pPr>
        <w:pStyle w:val="Bibliography"/>
      </w:pPr>
      <w:r>
        <w:t xml:space="preserve">Zhang, Zheng, Cuong C. Nguyen, Kevin Wells, and Gustavo Carneiro. 2026.</w:t>
      </w:r>
      <w:r>
        <w:t xml:space="preserve"> </w:t>
      </w:r>
      <w:r>
        <w:t xml:space="preserve">“Multi-Agent Decision Making: A</w:t>
      </w:r>
      <w:r>
        <w:t xml:space="preserve"> </w:t>
      </w:r>
      <w:r>
        <w:t xml:space="preserve">Blackwell</w:t>
      </w:r>
      <w:r>
        <w:t xml:space="preserve">’s Informativeness Approach.”</w:t>
      </w:r>
      <w:r>
        <w:t xml:space="preserve"> </w:t>
      </w:r>
      <w:r>
        <w:rPr>
          <w:i/>
          <w:iCs/>
        </w:rPr>
        <w:t xml:space="preserve">arXiv Preprint arXiv:2605.06028</w:t>
      </w:r>
      <w:r>
        <w:t xml:space="preserve">.</w:t>
      </w:r>
      <w:r>
        <w:t xml:space="preserve"> </w:t>
      </w:r>
      <w:hyperlink r:id="rId281">
        <w:r>
          <w:rPr>
            <w:rStyle w:val="Hyperlink"/>
          </w:rPr>
          <w:t xml:space="preserve">https://arxiv.org/abs/2605.06028</w:t>
        </w:r>
      </w:hyperlink>
      <w:r>
        <w:t xml:space="preserve">.</w:t>
      </w:r>
    </w:p>
    <w:bookmarkEnd w:id="282"/>
    <w:bookmarkStart w:id="283" w:name="ref-paretoprompts2025"/>
    <w:p>
      <w:pPr>
        <w:pStyle w:val="Bibliography"/>
      </w:pPr>
      <w:r>
        <w:t xml:space="preserve">Zhao, Guang, Byung-Jun Yoon, Gilchan Park, Shantenu Jha, Shinjae Yoo, and Xiaoning Qian. 2025.</w:t>
      </w:r>
      <w:r>
        <w:t xml:space="preserve"> </w:t>
      </w:r>
      <w:r>
        <w:t xml:space="preserve">“Pareto Prompt Optimization.”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283"/>
    <w:bookmarkStart w:id="285" w:name="ref-zheng2024pmi"/>
    <w:p>
      <w:pPr>
        <w:pStyle w:val="Bibliography"/>
      </w:pPr>
      <w:r>
        <w:t xml:space="preserve">Zheng, Shuran, Xuan Qi, Rui Ray Chen, Yongchan Kwon, and James Zou. 2024.</w:t>
      </w:r>
      <w:r>
        <w:t xml:space="preserve"> </w:t>
      </w:r>
      <w:r>
        <w:t xml:space="preserve">“Proper Dataset Valuation by Pointwise Mutual Information.”</w:t>
      </w:r>
      <w:r>
        <w:t xml:space="preserve"> </w:t>
      </w:r>
      <w:r>
        <w:rPr>
          <w:i/>
          <w:iCs/>
        </w:rPr>
        <w:t xml:space="preserve">arXiv Preprint arXiv:2405.18253</w:t>
      </w:r>
      <w:r>
        <w:t xml:space="preserve">.</w:t>
      </w:r>
      <w:r>
        <w:t xml:space="preserve"> </w:t>
      </w:r>
      <w:hyperlink r:id="rId284">
        <w:r>
          <w:rPr>
            <w:rStyle w:val="Hyperlink"/>
          </w:rPr>
          <w:t xml:space="preserve">https://arxiv.org/abs/2405.18253</w:t>
        </w:r>
      </w:hyperlink>
      <w:r>
        <w:t xml:space="preserve">.</w:t>
      </w:r>
    </w:p>
    <w:bookmarkEnd w:id="285"/>
    <w:bookmarkStart w:id="287" w:name="ref-skylinerag2026"/>
    <w:p>
      <w:pPr>
        <w:pStyle w:val="Bibliography"/>
      </w:pPr>
      <w:r>
        <w:t xml:space="preserve">Zhu, Xinyi, Haoyang Li, Yongqi Zhang, and Lei Chen. 2026.</w:t>
      </w:r>
      <w:r>
        <w:t xml:space="preserve"> </w:t>
      </w:r>
      <w:r>
        <w:t xml:space="preserve">“Skyline Retrieval Meets Set-Cover Chunk Merging: A Cost-Effective</w:t>
      </w:r>
      <w:r>
        <w:t xml:space="preserve"> </w:t>
      </w:r>
      <w:r>
        <w:t xml:space="preserve">RAG</w:t>
      </w:r>
      <w:r>
        <w:t xml:space="preserve">-Sketch for Long-Context</w:t>
      </w:r>
      <w:r>
        <w:t xml:space="preserve"> </w:t>
      </w:r>
      <w:r>
        <w:t xml:space="preserve">LLM</w:t>
      </w:r>
      <w:r>
        <w:t xml:space="preserve"> </w:t>
      </w:r>
      <w:r>
        <w:t xml:space="preserve">QA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ACM on Management of Data</w:t>
      </w:r>
      <w:r>
        <w:t xml:space="preserve"> </w:t>
      </w:r>
      <w:r>
        <w:t xml:space="preserve">4 (3): 1–27.</w:t>
      </w:r>
      <w:r>
        <w:t xml:space="preserve"> </w:t>
      </w:r>
      <w:hyperlink r:id="rId286">
        <w:r>
          <w:rPr>
            <w:rStyle w:val="Hyperlink"/>
          </w:rPr>
          <w:t xml:space="preserve">https://doi.org/10.1145/3802111</w:t>
        </w:r>
      </w:hyperlink>
      <w:r>
        <w:t xml:space="preserve">.</w:t>
      </w:r>
    </w:p>
    <w:bookmarkEnd w:id="287"/>
    <w:bookmarkStart w:id="289" w:name="ref-zuccon2010qprp"/>
    <w:p>
      <w:pPr>
        <w:pStyle w:val="Bibliography"/>
      </w:pPr>
      <w:r>
        <w:t xml:space="preserve">Zuccon, Guido, and Leif Azzopardi. 2010.</w:t>
      </w:r>
      <w:r>
        <w:t xml:space="preserve"> </w:t>
      </w:r>
      <w:r>
        <w:t xml:space="preserve">“Using the Quantum Probability Ranking Principle to Rank Interdependent Documents.”</w:t>
      </w:r>
      <w:r>
        <w:t xml:space="preserve"> </w:t>
      </w:r>
      <w:r>
        <w:rPr>
          <w:i/>
          <w:iCs/>
        </w:rPr>
        <w:t xml:space="preserve">Advances in Information Retrieval (ECIR 2010), LNCS 5993</w:t>
      </w:r>
      <w:r>
        <w:t xml:space="preserve">, 357–69.</w:t>
      </w:r>
      <w:r>
        <w:t xml:space="preserve"> </w:t>
      </w:r>
      <w:hyperlink r:id="rId288">
        <w:r>
          <w:rPr>
            <w:rStyle w:val="Hyperlink"/>
          </w:rPr>
          <w:t xml:space="preserve">https://doi.org/10.1007/978-3-642-12275-0_32</w:t>
        </w:r>
      </w:hyperlink>
      <w:r>
        <w:t xml:space="preserve">.</w:t>
      </w:r>
    </w:p>
    <w:bookmarkEnd w:id="289"/>
    <w:bookmarkEnd w:id="290"/>
    <w:bookmarkEnd w:id="291"/>
    <w:bookmarkEnd w:id="2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4" Target="http://www.vldb.org/pvldb/vol6/p37-dong.pdf" TargetMode="External" /><Relationship Type="http://schemas.openxmlformats.org/officeDocument/2006/relationships/hyperlink" Id="rId209" Target="https://aclanthology.org/2025.fever-1.2/" TargetMode="External" /><Relationship Type="http://schemas.openxmlformats.org/officeDocument/2006/relationships/hyperlink" Id="rId203" Target="https://aclanthology.org/2026.findings-acl.583/" TargetMode="External" /><Relationship Type="http://schemas.openxmlformats.org/officeDocument/2006/relationships/hyperlink" Id="rId251" Target="https://arxiv.org/abs/1402.4884" TargetMode="External" /><Relationship Type="http://schemas.openxmlformats.org/officeDocument/2006/relationships/hyperlink" Id="rId205" Target="https://arxiv.org/abs/2002.08909" TargetMode="External" /><Relationship Type="http://schemas.openxmlformats.org/officeDocument/2006/relationships/hyperlink" Id="rId255" Target="https://arxiv.org/abs/2301.12652" TargetMode="External" /><Relationship Type="http://schemas.openxmlformats.org/officeDocument/2006/relationships/hyperlink" Id="rId253" Target="https://arxiv.org/abs/2302.00093" TargetMode="External" /><Relationship Type="http://schemas.openxmlformats.org/officeDocument/2006/relationships/hyperlink" Id="rId271" Target="https://arxiv.org/abs/2302.05698" TargetMode="External" /><Relationship Type="http://schemas.openxmlformats.org/officeDocument/2006/relationships/hyperlink" Id="rId211" Target="https://arxiv.org/abs/2304.04576" TargetMode="External" /><Relationship Type="http://schemas.openxmlformats.org/officeDocument/2006/relationships/hyperlink" Id="rId257" Target="https://arxiv.org/abs/2304.09542" TargetMode="External" /><Relationship Type="http://schemas.openxmlformats.org/officeDocument/2006/relationships/hyperlink" Id="rId239" Target="https://arxiv.org/abs/2307.03172" TargetMode="External" /><Relationship Type="http://schemas.openxmlformats.org/officeDocument/2006/relationships/hyperlink" Id="rId180" Target="https://arxiv.org/abs/2401.14887" TargetMode="External" /><Relationship Type="http://schemas.openxmlformats.org/officeDocument/2006/relationships/hyperlink" Id="rId261" Target="https://arxiv.org/abs/2402.11750" TargetMode="External" /><Relationship Type="http://schemas.openxmlformats.org/officeDocument/2006/relationships/hyperlink" Id="rId269" Target="https://arxiv.org/abs/2403.08319" TargetMode="External" /><Relationship Type="http://schemas.openxmlformats.org/officeDocument/2006/relationships/hyperlink" Id="rId284" Target="https://arxiv.org/abs/2405.18253" TargetMode="External" /><Relationship Type="http://schemas.openxmlformats.org/officeDocument/2006/relationships/hyperlink" Id="rId273" Target="https://arxiv.org/abs/2407.02485" TargetMode="External" /><Relationship Type="http://schemas.openxmlformats.org/officeDocument/2006/relationships/hyperlink" Id="rId221" Target="https://arxiv.org/abs/2410.05983" TargetMode="External" /><Relationship Type="http://schemas.openxmlformats.org/officeDocument/2006/relationships/hyperlink" Id="rId267" Target="https://arxiv.org/abs/2410.07523" TargetMode="External" /><Relationship Type="http://schemas.openxmlformats.org/officeDocument/2006/relationships/hyperlink" Id="rId199" Target="https://arxiv.org/abs/2410.20247" TargetMode="External" /><Relationship Type="http://schemas.openxmlformats.org/officeDocument/2006/relationships/hyperlink" Id="rId241" Target="https://arxiv.org/abs/2411.00640" TargetMode="External" /><Relationship Type="http://schemas.openxmlformats.org/officeDocument/2006/relationships/hyperlink" Id="rId166" Target="https://arxiv.org/abs/2411.01533" TargetMode="External" /><Relationship Type="http://schemas.openxmlformats.org/officeDocument/2006/relationships/hyperlink" Id="rId223" Target="https://arxiv.org/abs/2411.06037" TargetMode="External" /><Relationship Type="http://schemas.openxmlformats.org/officeDocument/2006/relationships/hyperlink" Id="rId207" Target="https://arxiv.org/abs/2412.17031" TargetMode="External" /><Relationship Type="http://schemas.openxmlformats.org/officeDocument/2006/relationships/hyperlink" Id="rId182" Target="https://arxiv.org/abs/2503.01478" TargetMode="External" /><Relationship Type="http://schemas.openxmlformats.org/officeDocument/2006/relationships/hyperlink" Id="rId164" Target="https://arxiv.org/abs/2503.01747" TargetMode="External" /><Relationship Type="http://schemas.openxmlformats.org/officeDocument/2006/relationships/hyperlink" Id="rId235" Target="https://arxiv.org/abs/2503.04388" TargetMode="External" /><Relationship Type="http://schemas.openxmlformats.org/officeDocument/2006/relationships/hyperlink" Id="rId193" Target="https://arxiv.org/abs/2503.05491" TargetMode="External" /><Relationship Type="http://schemas.openxmlformats.org/officeDocument/2006/relationships/hyperlink" Id="rId233" Target="https://arxiv.org/abs/2504.07104" TargetMode="External" /><Relationship Type="http://schemas.openxmlformats.org/officeDocument/2006/relationships/hyperlink" Id="rId275" Target="https://arxiv.org/abs/2504.15630" TargetMode="External" /><Relationship Type="http://schemas.openxmlformats.org/officeDocument/2006/relationships/hyperlink" Id="rId172" Target="https://arxiv.org/abs/2507.03279" TargetMode="External" /><Relationship Type="http://schemas.openxmlformats.org/officeDocument/2006/relationships/hyperlink" Id="rId176" Target="https://arxiv.org/abs/2508.21184" TargetMode="External" /><Relationship Type="http://schemas.openxmlformats.org/officeDocument/2006/relationships/hyperlink" Id="rId215" Target="https://arxiv.org/abs/2510.00079" TargetMode="External" /><Relationship Type="http://schemas.openxmlformats.org/officeDocument/2006/relationships/hyperlink" Id="rId186" Target="https://arxiv.org/abs/2510.05381" TargetMode="External" /><Relationship Type="http://schemas.openxmlformats.org/officeDocument/2006/relationships/hyperlink" Id="rId277" Target="https://arxiv.org/abs/2510.11358" TargetMode="External" /><Relationship Type="http://schemas.openxmlformats.org/officeDocument/2006/relationships/hyperlink" Id="rId170" Target="https://arxiv.org/abs/2511.17908" TargetMode="External" /><Relationship Type="http://schemas.openxmlformats.org/officeDocument/2006/relationships/hyperlink" Id="rId217" Target="https://arxiv.org/abs/2512.06464" TargetMode="External" /><Relationship Type="http://schemas.openxmlformats.org/officeDocument/2006/relationships/hyperlink" Id="rId150" Target="https://arxiv.org/abs/2512.23617" TargetMode="External" /><Relationship Type="http://schemas.openxmlformats.org/officeDocument/2006/relationships/hyperlink" Id="rId219" Target="https://arxiv.org/abs/2601.05027" TargetMode="External" /><Relationship Type="http://schemas.openxmlformats.org/officeDocument/2006/relationships/hyperlink" Id="rId191" Target="https://arxiv.org/abs/2601.11273" TargetMode="External" /><Relationship Type="http://schemas.openxmlformats.org/officeDocument/2006/relationships/hyperlink" Id="rId174" Target="https://arxiv.org/abs/2601.16478" TargetMode="External" /><Relationship Type="http://schemas.openxmlformats.org/officeDocument/2006/relationships/hyperlink" Id="rId263" Target="https://arxiv.org/abs/2602.08294" TargetMode="External" /><Relationship Type="http://schemas.openxmlformats.org/officeDocument/2006/relationships/hyperlink" Id="rId245" Target="https://arxiv.org/abs/2604.06621" TargetMode="External" /><Relationship Type="http://schemas.openxmlformats.org/officeDocument/2006/relationships/hyperlink" Id="rId279" Target="https://arxiv.org/abs/2604.08920" TargetMode="External" /><Relationship Type="http://schemas.openxmlformats.org/officeDocument/2006/relationships/hyperlink" Id="rId247" Target="https://arxiv.org/abs/2605.03534" TargetMode="External" /><Relationship Type="http://schemas.openxmlformats.org/officeDocument/2006/relationships/hyperlink" Id="rId237" Target="https://arxiv.org/abs/2605.05716" TargetMode="External" /><Relationship Type="http://schemas.openxmlformats.org/officeDocument/2006/relationships/hyperlink" Id="rId281" Target="https://arxiv.org/abs/2605.06028" TargetMode="External" /><Relationship Type="http://schemas.openxmlformats.org/officeDocument/2006/relationships/hyperlink" Id="rId201" Target="https://arxiv.org/abs/2606.20047" TargetMode="External" /><Relationship Type="http://schemas.openxmlformats.org/officeDocument/2006/relationships/hyperlink" Id="rId195" Target="https://arxiv.org/abs/2608.26762" TargetMode="External" /><Relationship Type="http://schemas.openxmlformats.org/officeDocument/2006/relationships/hyperlink" Id="rId231" Target="https://doi.org/10.1007/978-1-4612-4946-7" TargetMode="External" /><Relationship Type="http://schemas.openxmlformats.org/officeDocument/2006/relationships/hyperlink" Id="rId243" Target="https://doi.org/10.1007/978-3-032-19099-4_23" TargetMode="External" /><Relationship Type="http://schemas.openxmlformats.org/officeDocument/2006/relationships/hyperlink" Id="rId288" Target="https://doi.org/10.1007/978-3-642-12275-0_32" TargetMode="External" /><Relationship Type="http://schemas.openxmlformats.org/officeDocument/2006/relationships/hyperlink" Id="rId197" Target="https://doi.org/10.1007/s10791-008-9045-0" TargetMode="External" /><Relationship Type="http://schemas.openxmlformats.org/officeDocument/2006/relationships/hyperlink" Id="rId225" Target="https://doi.org/10.1016/j.econlet.2024.112146" TargetMode="External" /><Relationship Type="http://schemas.openxmlformats.org/officeDocument/2006/relationships/hyperlink" Id="rId259" Target="https://doi.org/10.1017/CBO9780511666353" TargetMode="External" /><Relationship Type="http://schemas.openxmlformats.org/officeDocument/2006/relationships/hyperlink" Id="rId178" Target="https://doi.org/10.1093/biomet/26.4.404" TargetMode="External" /><Relationship Type="http://schemas.openxmlformats.org/officeDocument/2006/relationships/hyperlink" Id="rId249" Target="https://doi.org/10.1108/eb026647" TargetMode="External" /><Relationship Type="http://schemas.openxmlformats.org/officeDocument/2006/relationships/hyperlink" Id="rId159" Target="https://doi.org/10.1109/ISIT.2014.6875280" TargetMode="External" /><Relationship Type="http://schemas.openxmlformats.org/officeDocument/2006/relationships/hyperlink" Id="rId265" Target="https://doi.org/10.1145/1571941.1571963" TargetMode="External" /><Relationship Type="http://schemas.openxmlformats.org/officeDocument/2006/relationships/hyperlink" Id="rId168" Target="https://doi.org/10.1145/290941.291025" TargetMode="External" /><Relationship Type="http://schemas.openxmlformats.org/officeDocument/2006/relationships/hyperlink" Id="rId227" Target="https://doi.org/10.1145/3397271.3401075" TargetMode="External" /><Relationship Type="http://schemas.openxmlformats.org/officeDocument/2006/relationships/hyperlink" Id="rId286" Target="https://doi.org/10.1145/3802111" TargetMode="External" /><Relationship Type="http://schemas.openxmlformats.org/officeDocument/2006/relationships/hyperlink" Id="rId229" Target="https://doi.org/10.1214/aoms/1177700372" TargetMode="External" /><Relationship Type="http://schemas.openxmlformats.org/officeDocument/2006/relationships/hyperlink" Id="rId188" Target="https://doi.org/10.1214/aoms/1177728174" TargetMode="External" /><Relationship Type="http://schemas.openxmlformats.org/officeDocument/2006/relationships/hyperlink" Id="rId161" Target="https://doi.org/10.1214/aoms/1177729032" TargetMode="External" /><Relationship Type="http://schemas.openxmlformats.org/officeDocument/2006/relationships/hyperlink" Id="rId154" Target="https://doi.org/10.5281/zenodo.20800031" TargetMode="External" /><Relationship Type="http://schemas.openxmlformats.org/officeDocument/2006/relationships/hyperlink" Id="rId152" Target="https://doi.org/10.5281/zenodo.20800175" TargetMode="External" /><Relationship Type="http://schemas.openxmlformats.org/officeDocument/2006/relationships/hyperlink" Id="rId156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3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://www.vldb.org/pvldb/vol6/p37-dong.pdf" TargetMode="External" /><Relationship Type="http://schemas.openxmlformats.org/officeDocument/2006/relationships/hyperlink" Id="rId209" Target="https://aclanthology.org/2025.fever-1.2/" TargetMode="External" /><Relationship Type="http://schemas.openxmlformats.org/officeDocument/2006/relationships/hyperlink" Id="rId203" Target="https://aclanthology.org/2026.findings-acl.583/" TargetMode="External" /><Relationship Type="http://schemas.openxmlformats.org/officeDocument/2006/relationships/hyperlink" Id="rId251" Target="https://arxiv.org/abs/1402.4884" TargetMode="External" /><Relationship Type="http://schemas.openxmlformats.org/officeDocument/2006/relationships/hyperlink" Id="rId205" Target="https://arxiv.org/abs/2002.08909" TargetMode="External" /><Relationship Type="http://schemas.openxmlformats.org/officeDocument/2006/relationships/hyperlink" Id="rId255" Target="https://arxiv.org/abs/2301.12652" TargetMode="External" /><Relationship Type="http://schemas.openxmlformats.org/officeDocument/2006/relationships/hyperlink" Id="rId253" Target="https://arxiv.org/abs/2302.00093" TargetMode="External" /><Relationship Type="http://schemas.openxmlformats.org/officeDocument/2006/relationships/hyperlink" Id="rId271" Target="https://arxiv.org/abs/2302.05698" TargetMode="External" /><Relationship Type="http://schemas.openxmlformats.org/officeDocument/2006/relationships/hyperlink" Id="rId211" Target="https://arxiv.org/abs/2304.04576" TargetMode="External" /><Relationship Type="http://schemas.openxmlformats.org/officeDocument/2006/relationships/hyperlink" Id="rId257" Target="https://arxiv.org/abs/2304.09542" TargetMode="External" /><Relationship Type="http://schemas.openxmlformats.org/officeDocument/2006/relationships/hyperlink" Id="rId239" Target="https://arxiv.org/abs/2307.03172" TargetMode="External" /><Relationship Type="http://schemas.openxmlformats.org/officeDocument/2006/relationships/hyperlink" Id="rId180" Target="https://arxiv.org/abs/2401.14887" TargetMode="External" /><Relationship Type="http://schemas.openxmlformats.org/officeDocument/2006/relationships/hyperlink" Id="rId261" Target="https://arxiv.org/abs/2402.11750" TargetMode="External" /><Relationship Type="http://schemas.openxmlformats.org/officeDocument/2006/relationships/hyperlink" Id="rId269" Target="https://arxiv.org/abs/2403.08319" TargetMode="External" /><Relationship Type="http://schemas.openxmlformats.org/officeDocument/2006/relationships/hyperlink" Id="rId284" Target="https://arxiv.org/abs/2405.18253" TargetMode="External" /><Relationship Type="http://schemas.openxmlformats.org/officeDocument/2006/relationships/hyperlink" Id="rId273" Target="https://arxiv.org/abs/2407.02485" TargetMode="External" /><Relationship Type="http://schemas.openxmlformats.org/officeDocument/2006/relationships/hyperlink" Id="rId221" Target="https://arxiv.org/abs/2410.05983" TargetMode="External" /><Relationship Type="http://schemas.openxmlformats.org/officeDocument/2006/relationships/hyperlink" Id="rId267" Target="https://arxiv.org/abs/2410.07523" TargetMode="External" /><Relationship Type="http://schemas.openxmlformats.org/officeDocument/2006/relationships/hyperlink" Id="rId199" Target="https://arxiv.org/abs/2410.20247" TargetMode="External" /><Relationship Type="http://schemas.openxmlformats.org/officeDocument/2006/relationships/hyperlink" Id="rId241" Target="https://arxiv.org/abs/2411.00640" TargetMode="External" /><Relationship Type="http://schemas.openxmlformats.org/officeDocument/2006/relationships/hyperlink" Id="rId166" Target="https://arxiv.org/abs/2411.01533" TargetMode="External" /><Relationship Type="http://schemas.openxmlformats.org/officeDocument/2006/relationships/hyperlink" Id="rId223" Target="https://arxiv.org/abs/2411.06037" TargetMode="External" /><Relationship Type="http://schemas.openxmlformats.org/officeDocument/2006/relationships/hyperlink" Id="rId207" Target="https://arxiv.org/abs/2412.17031" TargetMode="External" /><Relationship Type="http://schemas.openxmlformats.org/officeDocument/2006/relationships/hyperlink" Id="rId182" Target="https://arxiv.org/abs/2503.01478" TargetMode="External" /><Relationship Type="http://schemas.openxmlformats.org/officeDocument/2006/relationships/hyperlink" Id="rId164" Target="https://arxiv.org/abs/2503.01747" TargetMode="External" /><Relationship Type="http://schemas.openxmlformats.org/officeDocument/2006/relationships/hyperlink" Id="rId235" Target="https://arxiv.org/abs/2503.04388" TargetMode="External" /><Relationship Type="http://schemas.openxmlformats.org/officeDocument/2006/relationships/hyperlink" Id="rId193" Target="https://arxiv.org/abs/2503.05491" TargetMode="External" /><Relationship Type="http://schemas.openxmlformats.org/officeDocument/2006/relationships/hyperlink" Id="rId233" Target="https://arxiv.org/abs/2504.07104" TargetMode="External" /><Relationship Type="http://schemas.openxmlformats.org/officeDocument/2006/relationships/hyperlink" Id="rId275" Target="https://arxiv.org/abs/2504.15630" TargetMode="External" /><Relationship Type="http://schemas.openxmlformats.org/officeDocument/2006/relationships/hyperlink" Id="rId172" Target="https://arxiv.org/abs/2507.03279" TargetMode="External" /><Relationship Type="http://schemas.openxmlformats.org/officeDocument/2006/relationships/hyperlink" Id="rId176" Target="https://arxiv.org/abs/2508.21184" TargetMode="External" /><Relationship Type="http://schemas.openxmlformats.org/officeDocument/2006/relationships/hyperlink" Id="rId215" Target="https://arxiv.org/abs/2510.00079" TargetMode="External" /><Relationship Type="http://schemas.openxmlformats.org/officeDocument/2006/relationships/hyperlink" Id="rId186" Target="https://arxiv.org/abs/2510.05381" TargetMode="External" /><Relationship Type="http://schemas.openxmlformats.org/officeDocument/2006/relationships/hyperlink" Id="rId277" Target="https://arxiv.org/abs/2510.11358" TargetMode="External" /><Relationship Type="http://schemas.openxmlformats.org/officeDocument/2006/relationships/hyperlink" Id="rId170" Target="https://arxiv.org/abs/2511.17908" TargetMode="External" /><Relationship Type="http://schemas.openxmlformats.org/officeDocument/2006/relationships/hyperlink" Id="rId217" Target="https://arxiv.org/abs/2512.06464" TargetMode="External" /><Relationship Type="http://schemas.openxmlformats.org/officeDocument/2006/relationships/hyperlink" Id="rId150" Target="https://arxiv.org/abs/2512.23617" TargetMode="External" /><Relationship Type="http://schemas.openxmlformats.org/officeDocument/2006/relationships/hyperlink" Id="rId219" Target="https://arxiv.org/abs/2601.05027" TargetMode="External" /><Relationship Type="http://schemas.openxmlformats.org/officeDocument/2006/relationships/hyperlink" Id="rId191" Target="https://arxiv.org/abs/2601.11273" TargetMode="External" /><Relationship Type="http://schemas.openxmlformats.org/officeDocument/2006/relationships/hyperlink" Id="rId174" Target="https://arxiv.org/abs/2601.16478" TargetMode="External" /><Relationship Type="http://schemas.openxmlformats.org/officeDocument/2006/relationships/hyperlink" Id="rId263" Target="https://arxiv.org/abs/2602.08294" TargetMode="External" /><Relationship Type="http://schemas.openxmlformats.org/officeDocument/2006/relationships/hyperlink" Id="rId245" Target="https://arxiv.org/abs/2604.06621" TargetMode="External" /><Relationship Type="http://schemas.openxmlformats.org/officeDocument/2006/relationships/hyperlink" Id="rId279" Target="https://arxiv.org/abs/2604.08920" TargetMode="External" /><Relationship Type="http://schemas.openxmlformats.org/officeDocument/2006/relationships/hyperlink" Id="rId247" Target="https://arxiv.org/abs/2605.03534" TargetMode="External" /><Relationship Type="http://schemas.openxmlformats.org/officeDocument/2006/relationships/hyperlink" Id="rId237" Target="https://arxiv.org/abs/2605.05716" TargetMode="External" /><Relationship Type="http://schemas.openxmlformats.org/officeDocument/2006/relationships/hyperlink" Id="rId281" Target="https://arxiv.org/abs/2605.06028" TargetMode="External" /><Relationship Type="http://schemas.openxmlformats.org/officeDocument/2006/relationships/hyperlink" Id="rId201" Target="https://arxiv.org/abs/2606.20047" TargetMode="External" /><Relationship Type="http://schemas.openxmlformats.org/officeDocument/2006/relationships/hyperlink" Id="rId195" Target="https://arxiv.org/abs/2608.26762" TargetMode="External" /><Relationship Type="http://schemas.openxmlformats.org/officeDocument/2006/relationships/hyperlink" Id="rId231" Target="https://doi.org/10.1007/978-1-4612-4946-7" TargetMode="External" /><Relationship Type="http://schemas.openxmlformats.org/officeDocument/2006/relationships/hyperlink" Id="rId243" Target="https://doi.org/10.1007/978-3-032-19099-4_23" TargetMode="External" /><Relationship Type="http://schemas.openxmlformats.org/officeDocument/2006/relationships/hyperlink" Id="rId288" Target="https://doi.org/10.1007/978-3-642-12275-0_32" TargetMode="External" /><Relationship Type="http://schemas.openxmlformats.org/officeDocument/2006/relationships/hyperlink" Id="rId197" Target="https://doi.org/10.1007/s10791-008-9045-0" TargetMode="External" /><Relationship Type="http://schemas.openxmlformats.org/officeDocument/2006/relationships/hyperlink" Id="rId225" Target="https://doi.org/10.1016/j.econlet.2024.112146" TargetMode="External" /><Relationship Type="http://schemas.openxmlformats.org/officeDocument/2006/relationships/hyperlink" Id="rId259" Target="https://doi.org/10.1017/CBO9780511666353" TargetMode="External" /><Relationship Type="http://schemas.openxmlformats.org/officeDocument/2006/relationships/hyperlink" Id="rId178" Target="https://doi.org/10.1093/biomet/26.4.404" TargetMode="External" /><Relationship Type="http://schemas.openxmlformats.org/officeDocument/2006/relationships/hyperlink" Id="rId249" Target="https://doi.org/10.1108/eb026647" TargetMode="External" /><Relationship Type="http://schemas.openxmlformats.org/officeDocument/2006/relationships/hyperlink" Id="rId159" Target="https://doi.org/10.1109/ISIT.2014.6875280" TargetMode="External" /><Relationship Type="http://schemas.openxmlformats.org/officeDocument/2006/relationships/hyperlink" Id="rId265" Target="https://doi.org/10.1145/1571941.1571963" TargetMode="External" /><Relationship Type="http://schemas.openxmlformats.org/officeDocument/2006/relationships/hyperlink" Id="rId168" Target="https://doi.org/10.1145/290941.291025" TargetMode="External" /><Relationship Type="http://schemas.openxmlformats.org/officeDocument/2006/relationships/hyperlink" Id="rId227" Target="https://doi.org/10.1145/3397271.3401075" TargetMode="External" /><Relationship Type="http://schemas.openxmlformats.org/officeDocument/2006/relationships/hyperlink" Id="rId286" Target="https://doi.org/10.1145/3802111" TargetMode="External" /><Relationship Type="http://schemas.openxmlformats.org/officeDocument/2006/relationships/hyperlink" Id="rId229" Target="https://doi.org/10.1214/aoms/1177700372" TargetMode="External" /><Relationship Type="http://schemas.openxmlformats.org/officeDocument/2006/relationships/hyperlink" Id="rId188" Target="https://doi.org/10.1214/aoms/1177728174" TargetMode="External" /><Relationship Type="http://schemas.openxmlformats.org/officeDocument/2006/relationships/hyperlink" Id="rId161" Target="https://doi.org/10.1214/aoms/1177729032" TargetMode="External" /><Relationship Type="http://schemas.openxmlformats.org/officeDocument/2006/relationships/hyperlink" Id="rId154" Target="https://doi.org/10.5281/zenodo.20800031" TargetMode="External" /><Relationship Type="http://schemas.openxmlformats.org/officeDocument/2006/relationships/hyperlink" Id="rId152" Target="https://doi.org/10.5281/zenodo.20800175" TargetMode="External" /><Relationship Type="http://schemas.openxmlformats.org/officeDocument/2006/relationships/hyperlink" Id="rId156" Target="https://doi.org/10.5281/zenodo.20800209" TargetMode="External" /><Relationship Type="http://schemas.openxmlformats.org/officeDocument/2006/relationships/hyperlink" Id="rId73" Target="https://github.com/abilous-ti/blackwell-llm-context" TargetMode="External" /><Relationship Type="http://schemas.openxmlformats.org/officeDocument/2006/relationships/hyperlink" Id="rId213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selection as a partial order: A Blackwell framework and verified LLM evidence</dc:title>
  <dc:creator>Andriy Bilous ^{1}, Vasyl Lytvyn ^{1}, Petro Pukach ^{2,\ast}, Zoriana Rybchak ^{1} ^{1} Department of Information Systems and Networks, Institute of Computer Science and Information Technologies, Lviv Polytechnic National University, S. Bandery St. 12, 79013 Lviv, Ukraine; andriy.bilous@uitware.com (A.B.); vasyl.v.lytvyn@lpnu.ua (V.L.); zoriana.l.rybchak@lpnu.ua (Z.R.) ^{2} Institute of Applied Mathematics and Fundamental Sciences, Lviv Polytechnic National University, S. Bandery St. 12, 79013 Lviv, Ukraine ^{\ast} Correspondence: petro.y.pukach@lpnu.ua</dc:creator>
  <cp:keywords/>
  <dcterms:created xsi:type="dcterms:W3CDTF">2026-09-09T21:20:11Z</dcterms:created>
  <dcterms:modified xsi:type="dcterms:W3CDTF">2026-09-09T21:20:11Z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Prompt context is usually chosen by scoring each source with one number and keeping the top few. We study the limits of task-independent scalar rankings for context sources. Two sources can be incomparable in Blackwell’s sense; we prove that when they are, no single per-source score ranks them correctly for every task. That concerns the ideal user of a source; what a fixed model does with one is separate, and we measure it. Running each source through a battery of pass/fail tasks and comparing pass rates with exact confidence intervals, on six models from four vendors we verify at \ge 90\% in both directions that two hand-built sources cross in realized pass rate. On a designed trap a lexical score, two dense retrievers and a cross-encoder prefer the wrong source, while a listwise LLM reranker reading the deciding detail does not. A strict superset of a sufficient source also lowers pass rates, verifiably on all twelve cells and as far as 100\% to 0\%; a character-matched padding arm and a reversed-order arm leave that collapse unexplained. Results hold for the evaluated snapshots, prompts and decoders on a hand-built battery; scaling the implied rule to large corpora remains open.</vt:lpwstr>
  </property>
  <property fmtid="{D5CDD505-2E9C-101B-9397-08002B2CF9AE}" pid="3" name="bibliography">
    <vt:lpwstr>blackwell-paper.bib</vt:lpwstr>
  </property>
  <property fmtid="{D5CDD505-2E9C-101B-9397-08002B2CF9AE}" pid="4" name="date">
    <vt:lpwstr/>
  </property>
</Properties>
</file>