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4"/>
    <w:bookmarkEnd w:id="45"/>
    <w:bookmarkStart w:id="54"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9"/>
    <w:bookmarkEnd w:id="50"/>
    <w:bookmarkStart w:id="53"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and between them they exhaust the two ways a topical score fails on</w:t>
      </w:r>
      <w:r>
        <w:rPr>
          <w:i/>
          <w:iCs/>
        </w:rPr>
        <w:t xml:space="preserve"> </w:t>
      </w:r>
      <m:oMath>
        <m:sSub>
          <m:e>
            <m:r>
              <m:t>T</m:t>
            </m:r>
          </m:e>
          <m:sub>
            <m:r>
              <m:t>c</m:t>
            </m:r>
          </m:sub>
        </m:sSub>
      </m:oMath>
      <w:r>
        <w:rPr>
          <w:i/>
          <w:iCs/>
        </w:rPr>
        <w:t xml:space="preserve">.</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so no</w:t>
      </w:r>
      <w:r>
        <w:rPr>
          <w:i/>
          <w:iCs/>
        </w:rPr>
        <w:t xml:space="preserve"> </w:t>
      </w:r>
      <w:r>
        <w:rPr>
          <w:i/>
          <w:iCs/>
        </w:rPr>
        <w:t xml:space="preserve">topical query-conditioned score ranks them correctly on all tasks.</w:t>
      </w:r>
    </w:p>
    <w:bookmarkEnd w:id="51"/>
    <w:bookmarkStart w:id="52" w:name="rem:overlaponly"/>
    <w:p>
      <w:pPr>
        <w:pStyle w:val="BodyText"/>
      </w:pPr>
      <w:r>
        <w:rPr>
          <w:i/>
          <w:iCs/>
        </w:rPr>
        <w:t xml:space="preserve">Remark 5</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2"/>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3"/>
    <w:bookmarkEnd w:id="54"/>
    <w:bookmarkStart w:id="66"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6"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5" w:name="rem:notlecam"/>
    <w:p>
      <w:pPr>
        <w:pStyle w:val="BodyText"/>
      </w:pPr>
      <w:r>
        <w:rPr>
          <w:i/>
          <w:iCs/>
        </w:rPr>
        <w:t xml:space="preserve">Remark 6</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5"/>
    <w:bookmarkEnd w:id="56"/>
    <w:bookmarkStart w:id="59"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7"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7"/>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8"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8"/>
    <w:bookmarkEnd w:id="59"/>
    <w:bookmarkStart w:id="62"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7).</w:t>
      </w:r>
    </w:p>
    <w:bookmarkStart w:id="60"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0"/>
    <w:bookmarkStart w:id="61" w:name="rem:psinotharm"/>
    <w:p>
      <w:pPr>
        <w:pStyle w:val="FirstParagraph"/>
      </w:pPr>
      <w:r>
        <w:rPr>
          <w:i/>
          <w:iCs/>
        </w:rPr>
        <w:t xml:space="preserve">Remark 7</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1"/>
    <w:bookmarkEnd w:id="62"/>
    <w:bookmarkStart w:id="64"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3"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3"/>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4"/>
    <w:bookmarkStart w:id="65"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5"/>
    <w:bookmarkEnd w:id="66"/>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9"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7"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7"/>
    <w:bookmarkStart w:id="68"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8"/>
    <w:bookmarkEnd w:id="69"/>
    <w:bookmarkStart w:id="72"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0"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0"/>
    <w:bookmarkStart w:id="71"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1"/>
    <w:bookmarkEnd w:id="72"/>
    <w:bookmarkStart w:id="82" w:name="sec:methodology"/>
    <w:p>
      <w:pPr>
        <w:pStyle w:val="Heading2"/>
      </w:pPr>
      <w:r>
        <w:t xml:space="preserve">Methodology</w:t>
      </w:r>
    </w:p>
    <w:bookmarkStart w:id="73"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3"/>
    <w:bookmarkStart w:id="75"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4">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5"/>
    <w:bookmarkStart w:id="76"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6"/>
    <w:bookmarkStart w:id="77"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7"/>
    <w:bookmarkStart w:id="78"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8"/>
    <w:bookmarkStart w:id="79"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length-matched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9"/>
    <w:bookmarkStart w:id="80"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End w:id="82"/>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3"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3"/>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4"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per-endpoint 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every one of the 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4"/>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7"/>
    <w:bookmarkEnd w:id="98"/>
    <w:bookmarkEnd w:id="99"/>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1"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0"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0"/>
    <w:bookmarkEnd w:id="101"/>
    <w:bookmarkStart w:id="104"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code every time, so no failure is an artifact of</w:t>
      </w:r>
      <w:r>
        <w:t xml:space="preserve"> </w:t>
      </w:r>
      <w:r>
        <w:t xml:space="preserve">fences or prose.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3"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2"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failing superset draws that wire-encode the amount;</w:t>
      </w:r>
      <w:r>
        <w:t xml:space="preserve"> </w:t>
      </w:r>
      <w:r>
        <w:t xml:space="preserve">“Refusal”</w:t>
      </w:r>
      <w:r>
        <w:t xml:space="preserve"> </w:t>
      </w:r>
      <w:r>
        <w:t xml:space="preserve">counts draws</w:t>
      </w:r>
      <w:r>
        <w:t xml:space="preserve"> </w:t>
      </w:r>
      <w:r>
        <w:t xml:space="preserve">declining the task as a suspected prompt injection. Every row is a single-shot re-measurement in</w:t>
      </w:r>
      <w:r>
        <w:t xml:space="preserve"> </w:t>
      </w:r>
      <w:r>
        <w:t xml:space="preserve">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failing superset draws that wire-encode the amount; “Refusal” counts draws declining the task as a suspected prompt injection.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2"/>
    <w:bookmarkEnd w:id="103"/>
    <w:bookmarkEnd w:id="104"/>
    <w:bookmarkEnd w:id="105"/>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7"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7"/>
    <w:bookmarkEnd w:id="108"/>
    <w:bookmarkEnd w:id="109"/>
    <w:bookmarkStart w:id="123"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6).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3"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7).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3"/>
    <w:bookmarkStart w:id="114"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4"/>
    <w:bookmarkStart w:id="122"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5"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5"/>
    <w:bookmarkStart w:id="116"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6"/>
    <w:bookmarkStart w:id="117"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7"/>
    <w:bookmarkStart w:id="118"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8"/>
    <w:bookmarkStart w:id="119"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9"/>
    <w:bookmarkStart w:id="120"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0"/>
    <w:bookmarkStart w:id="121"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1"/>
    <w:bookmarkEnd w:id="122"/>
    <w:bookmarkEnd w:id="123"/>
    <w:bookmarkStart w:id="124"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4"/>
    <w:bookmarkStart w:id="125"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5"/>
    <w:bookmarkStart w:id="126"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6"/>
    <w:bookmarkStart w:id="127"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7"/>
    <w:bookmarkStart w:id="128" w:name="informed-consent-statement"/>
    <w:p>
      <w:pPr>
        <w:pStyle w:val="Heading1"/>
      </w:pPr>
      <w:r>
        <w:t xml:space="preserve">Informed Consent Statement</w:t>
      </w:r>
    </w:p>
    <w:p>
      <w:pPr>
        <w:pStyle w:val="FirstParagraph"/>
      </w:pPr>
      <w:r>
        <w:t xml:space="preserve">Not applicable.</w:t>
      </w:r>
    </w:p>
    <w:bookmarkEnd w:id="128"/>
    <w:bookmarkStart w:id="129"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4">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No data were withheld; every reported figure is computed from those</w:t>
      </w:r>
      <w:r>
        <w:t xml:space="preserve"> </w:t>
      </w:r>
      <w:r>
        <w:t xml:space="preserve">files by the released scripts.</w:t>
      </w:r>
    </w:p>
    <w:bookmarkEnd w:id="129"/>
    <w:bookmarkStart w:id="130" w:name="conflicts-of-interest"/>
    <w:p>
      <w:pPr>
        <w:pStyle w:val="Heading1"/>
      </w:pPr>
      <w:r>
        <w:t xml:space="preserve">Conflicts of Interest</w:t>
      </w:r>
    </w:p>
    <w:p>
      <w:pPr>
        <w:pStyle w:val="FirstParagraph"/>
      </w:pPr>
      <w:r>
        <w:t xml:space="preserve">The authors declare no conflict of interest.</w:t>
      </w:r>
    </w:p>
    <w:bookmarkEnd w:id="130"/>
    <w:bookmarkStart w:id="131"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1"/>
    <w:bookmarkStart w:id="143" w:name="app:proofs"/>
    <w:p>
      <w:pPr>
        <w:pStyle w:val="Heading1"/>
      </w:pPr>
      <w:r>
        <w:t xml:space="preserve">Deferred proofs and technical material</w:t>
      </w:r>
    </w:p>
    <w:bookmarkStart w:id="132"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2"/>
    <w:bookmarkStart w:id="133"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3"/>
    <w:bookmarkStart w:id="134"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4"/>
    <w:bookmarkStart w:id="135"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5"/>
    <w:bookmarkStart w:id="13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6"/>
    <w:bookmarkStart w:id="13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7"/>
    <w:bookmarkStart w:id="138"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8"/>
    <w:bookmarkStart w:id="13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9"/>
    <w:bookmarkStart w:id="141" w:name="relation-to-llm-evaluation-statistics"/>
    <w:p>
      <w:pPr>
        <w:pStyle w:val="Heading2"/>
      </w:pPr>
      <w:r>
        <w:t xml:space="preserve">Relation to LLM-evaluation statistics</w:t>
      </w:r>
    </w:p>
    <w:bookmarkStart w:id="140"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0"/>
    <w:bookmarkEnd w:id="141"/>
    <w:bookmarkStart w:id="142"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2"/>
    <w:bookmarkEnd w:id="143"/>
    <w:bookmarkStart w:id="150" w:name="app:record"/>
    <w:p>
      <w:pPr>
        <w:pStyle w:val="Heading1"/>
      </w:pPr>
      <w:r>
        <w:t xml:space="preserve">Extended experimental record</w:t>
      </w:r>
    </w:p>
    <w:bookmarkStart w:id="144"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4"/>
    <w:bookmarkStart w:id="149"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5"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5"/>
    <w:bookmarkStart w:id="146"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6"/>
    <w:bookmarkStart w:id="147"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7"/>
    <w:bookmarkStart w:id="148"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8"/>
    <w:bookmarkEnd w:id="149"/>
    <w:bookmarkEnd w:id="150"/>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4">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1"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1"/>
    <w:bookmarkStart w:id="152"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2"/>
    <w:bookmarkStart w:id="153"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4">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3"/>
    <w:bookmarkStart w:id="29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0" w:name="refs"/>
    <w:bookmarkStart w:id="155"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4">
        <w:r>
          <w:rPr>
            <w:rStyle w:val="Hyperlink"/>
          </w:rPr>
          <w:t xml:space="preserve">https://arxiv.org/abs/2512.23617</w:t>
        </w:r>
      </w:hyperlink>
      <w:r>
        <w:t xml:space="preserve">.</w:t>
      </w:r>
    </w:p>
    <w:bookmarkEnd w:id="155"/>
    <w:bookmarkStart w:id="157"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6">
        <w:r>
          <w:rPr>
            <w:rStyle w:val="Hyperlink"/>
          </w:rPr>
          <w:t xml:space="preserve">https://doi.org/10.5281/zenodo.20800175</w:t>
        </w:r>
      </w:hyperlink>
      <w:r>
        <w:t xml:space="preserve">.</w:t>
      </w:r>
    </w:p>
    <w:bookmarkEnd w:id="157"/>
    <w:bookmarkStart w:id="159"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8">
        <w:r>
          <w:rPr>
            <w:rStyle w:val="Hyperlink"/>
          </w:rPr>
          <w:t xml:space="preserve">https://doi.org/10.5281/zenodo.20800031</w:t>
        </w:r>
      </w:hyperlink>
      <w:r>
        <w:t xml:space="preserve">.</w:t>
      </w:r>
    </w:p>
    <w:bookmarkEnd w:id="159"/>
    <w:bookmarkStart w:id="161"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0">
        <w:r>
          <w:rPr>
            <w:rStyle w:val="Hyperlink"/>
          </w:rPr>
          <w:t xml:space="preserve">https://doi.org/10.5281/zenodo.20800209</w:t>
        </w:r>
      </w:hyperlink>
      <w:r>
        <w:t xml:space="preserve">.</w:t>
      </w:r>
    </w:p>
    <w:bookmarkEnd w:id="161"/>
    <w:bookmarkStart w:id="162"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2"/>
    <w:bookmarkStart w:id="16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3">
        <w:r>
          <w:rPr>
            <w:rStyle w:val="Hyperlink"/>
          </w:rPr>
          <w:t xml:space="preserve">https://doi.org/10.1214/aoms/1177729032</w:t>
        </w:r>
      </w:hyperlink>
      <w:r>
        <w:t xml:space="preserve">.</w:t>
      </w:r>
    </w:p>
    <w:bookmarkEnd w:id="164"/>
    <w:bookmarkStart w:id="16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5"/>
    <w:bookmarkStart w:id="16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6">
        <w:r>
          <w:rPr>
            <w:rStyle w:val="Hyperlink"/>
          </w:rPr>
          <w:t xml:space="preserve">https://arxiv.org/abs/2503.01747</w:t>
        </w:r>
      </w:hyperlink>
      <w:r>
        <w:t xml:space="preserve">.</w:t>
      </w:r>
    </w:p>
    <w:bookmarkEnd w:id="167"/>
    <w:bookmarkStart w:id="16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8">
        <w:r>
          <w:rPr>
            <w:rStyle w:val="Hyperlink"/>
          </w:rPr>
          <w:t xml:space="preserve">https://arxiv.org/abs/2411.01533</w:t>
        </w:r>
      </w:hyperlink>
      <w:r>
        <w:t xml:space="preserve">.</w:t>
      </w:r>
    </w:p>
    <w:bookmarkEnd w:id="169"/>
    <w:bookmarkStart w:id="17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0">
        <w:r>
          <w:rPr>
            <w:rStyle w:val="Hyperlink"/>
          </w:rPr>
          <w:t xml:space="preserve">https://doi.org/10.1145/290941.291025</w:t>
        </w:r>
      </w:hyperlink>
      <w:r>
        <w:t xml:space="preserve">.</w:t>
      </w:r>
    </w:p>
    <w:bookmarkEnd w:id="171"/>
    <w:bookmarkStart w:id="173"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2">
        <w:r>
          <w:rPr>
            <w:rStyle w:val="Hyperlink"/>
          </w:rPr>
          <w:t xml:space="preserve">https://arxiv.org/abs/2511.17908</w:t>
        </w:r>
      </w:hyperlink>
      <w:r>
        <w:t xml:space="preserve">.</w:t>
      </w:r>
    </w:p>
    <w:bookmarkEnd w:id="173"/>
    <w:bookmarkStart w:id="175"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4">
        <w:r>
          <w:rPr>
            <w:rStyle w:val="Hyperlink"/>
          </w:rPr>
          <w:t xml:space="preserve">https://arxiv.org/abs/2507.03279</w:t>
        </w:r>
      </w:hyperlink>
      <w:r>
        <w:t xml:space="preserve">.</w:t>
      </w:r>
    </w:p>
    <w:bookmarkEnd w:id="175"/>
    <w:bookmarkStart w:id="177"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6">
        <w:r>
          <w:rPr>
            <w:rStyle w:val="Hyperlink"/>
          </w:rPr>
          <w:t xml:space="preserve">https://arxiv.org/abs/2601.16478</w:t>
        </w:r>
      </w:hyperlink>
      <w:r>
        <w:t xml:space="preserve">.</w:t>
      </w:r>
    </w:p>
    <w:bookmarkEnd w:id="177"/>
    <w:bookmarkStart w:id="179"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8">
        <w:r>
          <w:rPr>
            <w:rStyle w:val="Hyperlink"/>
          </w:rPr>
          <w:t xml:space="preserve">https://arxiv.org/abs/2508.21184</w:t>
        </w:r>
      </w:hyperlink>
      <w:r>
        <w:t xml:space="preserve">.</w:t>
      </w:r>
    </w:p>
    <w:bookmarkEnd w:id="179"/>
    <w:bookmarkStart w:id="181"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0">
        <w:r>
          <w:rPr>
            <w:rStyle w:val="Hyperlink"/>
          </w:rPr>
          <w:t xml:space="preserve">https://doi.org/10.1093/biomet/26.4.404</w:t>
        </w:r>
      </w:hyperlink>
      <w:r>
        <w:t xml:space="preserve">.</w:t>
      </w:r>
    </w:p>
    <w:bookmarkEnd w:id="181"/>
    <w:bookmarkStart w:id="183"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2">
        <w:r>
          <w:rPr>
            <w:rStyle w:val="Hyperlink"/>
          </w:rPr>
          <w:t xml:space="preserve">https://arxiv.org/abs/2401.14887</w:t>
        </w:r>
      </w:hyperlink>
      <w:r>
        <w:t xml:space="preserve">.</w:t>
      </w:r>
    </w:p>
    <w:bookmarkEnd w:id="183"/>
    <w:bookmarkStart w:id="185"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4">
        <w:r>
          <w:rPr>
            <w:rStyle w:val="Hyperlink"/>
          </w:rPr>
          <w:t xml:space="preserve">https://arxiv.org/abs/2503.01478</w:t>
        </w:r>
      </w:hyperlink>
      <w:r>
        <w:t xml:space="preserve">.</w:t>
      </w:r>
    </w:p>
    <w:bookmarkEnd w:id="185"/>
    <w:bookmarkStart w:id="187"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6">
        <w:r>
          <w:rPr>
            <w:rStyle w:val="Hyperlink"/>
          </w:rPr>
          <w:t xml:space="preserve">http://www.vldb.org/pvldb/vol6/p37-dong.pdf</w:t>
        </w:r>
      </w:hyperlink>
      <w:r>
        <w:t xml:space="preserve">.</w:t>
      </w:r>
    </w:p>
    <w:bookmarkEnd w:id="187"/>
    <w:bookmarkStart w:id="189"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8">
        <w:r>
          <w:rPr>
            <w:rStyle w:val="Hyperlink"/>
          </w:rPr>
          <w:t xml:space="preserve">https://arxiv.org/abs/2510.05381</w:t>
        </w:r>
      </w:hyperlink>
      <w:r>
        <w:t xml:space="preserve">.</w:t>
      </w:r>
    </w:p>
    <w:bookmarkEnd w:id="189"/>
    <w:bookmarkStart w:id="191"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0">
        <w:r>
          <w:rPr>
            <w:rStyle w:val="Hyperlink"/>
          </w:rPr>
          <w:t xml:space="preserve">https://doi.org/10.1214/aoms/1177728174</w:t>
        </w:r>
      </w:hyperlink>
      <w:r>
        <w:t xml:space="preserve">.</w:t>
      </w:r>
    </w:p>
    <w:bookmarkEnd w:id="191"/>
    <w:bookmarkStart w:id="192"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2"/>
    <w:bookmarkStart w:id="194"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3">
        <w:r>
          <w:rPr>
            <w:rStyle w:val="Hyperlink"/>
          </w:rPr>
          <w:t xml:space="preserve">https://arxiv.org/abs/2601.11273</w:t>
        </w:r>
      </w:hyperlink>
      <w:r>
        <w:t xml:space="preserve">.</w:t>
      </w:r>
    </w:p>
    <w:bookmarkEnd w:id="194"/>
    <w:bookmarkStart w:id="19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5">
        <w:r>
          <w:rPr>
            <w:rStyle w:val="Hyperlink"/>
          </w:rPr>
          <w:t xml:space="preserve">https://arxiv.org/abs/2503.05491</w:t>
        </w:r>
      </w:hyperlink>
      <w:r>
        <w:t xml:space="preserve">.</w:t>
      </w:r>
    </w:p>
    <w:bookmarkEnd w:id="196"/>
    <w:bookmarkStart w:id="198"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7">
        <w:r>
          <w:rPr>
            <w:rStyle w:val="Hyperlink"/>
          </w:rPr>
          <w:t xml:space="preserve">https://arxiv.org/abs/2608.26762</w:t>
        </w:r>
      </w:hyperlink>
      <w:r>
        <w:t xml:space="preserve">.</w:t>
      </w:r>
    </w:p>
    <w:bookmarkEnd w:id="198"/>
    <w:bookmarkStart w:id="200"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9">
        <w:r>
          <w:rPr>
            <w:rStyle w:val="Hyperlink"/>
          </w:rPr>
          <w:t xml:space="preserve">https://doi.org/10.1007/s10791-008-9045-0</w:t>
        </w:r>
      </w:hyperlink>
      <w:r>
        <w:t xml:space="preserve">.</w:t>
      </w:r>
    </w:p>
    <w:bookmarkEnd w:id="200"/>
    <w:bookmarkStart w:id="202"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1">
        <w:r>
          <w:rPr>
            <w:rStyle w:val="Hyperlink"/>
          </w:rPr>
          <w:t xml:space="preserve">https://arxiv.org/abs/2410.20247</w:t>
        </w:r>
      </w:hyperlink>
      <w:r>
        <w:t xml:space="preserve">.</w:t>
      </w:r>
    </w:p>
    <w:bookmarkEnd w:id="202"/>
    <w:bookmarkStart w:id="204"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3">
        <w:r>
          <w:rPr>
            <w:rStyle w:val="Hyperlink"/>
          </w:rPr>
          <w:t xml:space="preserve">https://arxiv.org/abs/2606.20047</w:t>
        </w:r>
      </w:hyperlink>
      <w:r>
        <w:t xml:space="preserve">.</w:t>
      </w:r>
    </w:p>
    <w:bookmarkEnd w:id="204"/>
    <w:bookmarkStart w:id="206"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5">
        <w:r>
          <w:rPr>
            <w:rStyle w:val="Hyperlink"/>
          </w:rPr>
          <w:t xml:space="preserve">https://aclanthology.org/2026.findings-acl.583/</w:t>
        </w:r>
      </w:hyperlink>
      <w:r>
        <w:t xml:space="preserve">.</w:t>
      </w:r>
    </w:p>
    <w:bookmarkEnd w:id="206"/>
    <w:bookmarkStart w:id="208"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7">
        <w:r>
          <w:rPr>
            <w:rStyle w:val="Hyperlink"/>
          </w:rPr>
          <w:t xml:space="preserve">https://arxiv.org/abs/2002.08909</w:t>
        </w:r>
      </w:hyperlink>
      <w:r>
        <w:t xml:space="preserve">.</w:t>
      </w:r>
    </w:p>
    <w:bookmarkEnd w:id="208"/>
    <w:bookmarkStart w:id="210"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9">
        <w:r>
          <w:rPr>
            <w:rStyle w:val="Hyperlink"/>
          </w:rPr>
          <w:t xml:space="preserve">https://arxiv.org/abs/2412.17031</w:t>
        </w:r>
      </w:hyperlink>
      <w:r>
        <w:t xml:space="preserve">.</w:t>
      </w:r>
    </w:p>
    <w:bookmarkEnd w:id="210"/>
    <w:bookmarkStart w:id="212"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1">
        <w:r>
          <w:rPr>
            <w:rStyle w:val="Hyperlink"/>
          </w:rPr>
          <w:t xml:space="preserve">https://aclanthology.org/2025.fever-1.2/</w:t>
        </w:r>
      </w:hyperlink>
      <w:r>
        <w:t xml:space="preserve">.</w:t>
      </w:r>
    </w:p>
    <w:bookmarkEnd w:id="212"/>
    <w:bookmarkStart w:id="214"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3">
        <w:r>
          <w:rPr>
            <w:rStyle w:val="Hyperlink"/>
          </w:rPr>
          <w:t xml:space="preserve">https://arxiv.org/abs/2304.04576</w:t>
        </w:r>
      </w:hyperlink>
      <w:r>
        <w:t xml:space="preserve">.</w:t>
      </w:r>
    </w:p>
    <w:bookmarkEnd w:id="214"/>
    <w:bookmarkStart w:id="216"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5">
        <w:r>
          <w:rPr>
            <w:rStyle w:val="Hyperlink"/>
          </w:rPr>
          <w:t xml:space="preserve">https://www.trychroma.com/research/context-rot</w:t>
        </w:r>
      </w:hyperlink>
      <w:r>
        <w:t xml:space="preserve">.</w:t>
      </w:r>
    </w:p>
    <w:bookmarkEnd w:id="216"/>
    <w:bookmarkStart w:id="218"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7">
        <w:r>
          <w:rPr>
            <w:rStyle w:val="Hyperlink"/>
          </w:rPr>
          <w:t xml:space="preserve">https://arxiv.org/abs/2510.00079</w:t>
        </w:r>
      </w:hyperlink>
      <w:r>
        <w:t xml:space="preserve">.</w:t>
      </w:r>
    </w:p>
    <w:bookmarkEnd w:id="218"/>
    <w:bookmarkStart w:id="220"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9">
        <w:r>
          <w:rPr>
            <w:rStyle w:val="Hyperlink"/>
          </w:rPr>
          <w:t xml:space="preserve">https://arxiv.org/abs/2512.06464</w:t>
        </w:r>
      </w:hyperlink>
      <w:r>
        <w:t xml:space="preserve">.</w:t>
      </w:r>
    </w:p>
    <w:bookmarkEnd w:id="220"/>
    <w:bookmarkStart w:id="222"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1">
        <w:r>
          <w:rPr>
            <w:rStyle w:val="Hyperlink"/>
          </w:rPr>
          <w:t xml:space="preserve">https://arxiv.org/abs/2601.05027</w:t>
        </w:r>
      </w:hyperlink>
      <w:r>
        <w:t xml:space="preserve">.</w:t>
      </w:r>
    </w:p>
    <w:bookmarkEnd w:id="222"/>
    <w:bookmarkStart w:id="224"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3">
        <w:r>
          <w:rPr>
            <w:rStyle w:val="Hyperlink"/>
          </w:rPr>
          <w:t xml:space="preserve">https://arxiv.org/abs/2410.05983</w:t>
        </w:r>
      </w:hyperlink>
      <w:r>
        <w:t xml:space="preserve">.</w:t>
      </w:r>
    </w:p>
    <w:bookmarkEnd w:id="224"/>
    <w:bookmarkStart w:id="226"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5">
        <w:r>
          <w:rPr>
            <w:rStyle w:val="Hyperlink"/>
          </w:rPr>
          <w:t xml:space="preserve">https://arxiv.org/abs/2411.06037</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6"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7"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59"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265"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5"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6"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7"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59"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265"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5"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2026-09-08T20:41:22Z</dcterms:created>
  <dcterms:modified xsi:type="dcterms:W3CDTF">2026-09-08T20:41:22Z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Adding a larger source can also hurt: a strict superset verifiably lowers pass rates on eleven of twelve cells, falling as far as 100\% to 0\%,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blackwell-paper.bib</vt:lpwstr>
  </property>
  <property fmtid="{D5CDD505-2E9C-101B-9397-08002B2CF9AE}" pid="4" name="date">
    <vt:lpwstr/>
  </property>
</Properties>
</file>