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w:t>
      </w:r>
      <w:r>
        <w:br/>
      </w:r>
      <w:r>
        <w:t xml:space="preserve">Department of Information Systems and Networks</w:t>
      </w:r>
      <w:r>
        <w:br/>
      </w:r>
      <w:r>
        <w:t xml:space="preserve">Lviv Polytechnic National University, Lviv, Ukraine</w:t>
      </w:r>
      <w:r>
        <w:br/>
      </w:r>
      <w:r>
        <w:t xml:space="preserve">ORCID: 0009-0006-5467-7932</w:t>
      </w:r>
      <w:r>
        <w:br/>
      </w:r>
      <w:r>
        <w:rPr>
          <w:rStyle w:val="VerbatimChar"/>
        </w:rPr>
        <w:t xml:space="preserve">andriy.bilous@uitware.com</w:t>
      </w:r>
    </w:p>
    <w:p>
      <w:pPr>
        <w:pStyle w:val="AbstractTitle"/>
      </w:pPr>
      <w:r>
        <w:t xml:space="preserve">Abstract</w:t>
      </w:r>
    </w:p>
    <w:p>
      <w:pPr>
        <w:pStyle w:val="Abstract"/>
      </w:pPr>
      <w:r>
        <w:t xml:space="preserve">Choosing what to put in a language model’s prompt is almost always done by</w:t>
      </w:r>
      <w:r>
        <w:t xml:space="preserve"> </w:t>
      </w:r>
      <w:r>
        <w:t xml:space="preserve">scoring each candidate source with a single number and keeping the top few. We</w:t>
      </w:r>
      <w:r>
        <w:t xml:space="preserve"> </w:t>
      </w:r>
      <w:r>
        <w:t xml:space="preserve">argue this is the wrong approach. The best context for one task is often useless</w:t>
      </w:r>
      <w:r>
        <w:t xml:space="preserve"> </w:t>
      </w:r>
      <w:r>
        <w:t xml:space="preserve">for another. Two sources can be</w:t>
      </w:r>
      <w:r>
        <w:t xml:space="preserve"> </w:t>
      </w:r>
      <w:r>
        <w:rPr>
          <w:i/>
          <w:iCs/>
        </w:rPr>
        <w:t xml:space="preserve">incomparable</w:t>
      </w:r>
      <w:r>
        <w:t xml:space="preserve">, in the exact sense of</w:t>
      </w:r>
      <w:r>
        <w:t xml:space="preserve"> </w:t>
      </w:r>
      <w:r>
        <w:t xml:space="preserve">Blackwell’s 1953 comparison of experiments </w:t>
      </w:r>
      <w:r>
        <w:t xml:space="preserve">(</w:t>
      </w:r>
      <w:hyperlink w:anchor="ref-blackwell1953">
        <w:r>
          <w:rPr>
            <w:rStyle w:val="Hyperlink"/>
          </w:rPr>
          <w:t xml:space="preserve">Blackwell 1953</w:t>
        </w:r>
      </w:hyperlink>
      <w:r>
        <w:t xml:space="preserve">)</w:t>
      </w:r>
      <w:r>
        <w:t xml:space="preserve">, and when they</w:t>
      </w:r>
      <w:r>
        <w:t xml:space="preserve"> </w:t>
      </w:r>
      <w:r>
        <w:t xml:space="preserve">are, no single relevance score can rank them correctly for every task. To test</w:t>
      </w:r>
      <w:r>
        <w:t xml:space="preserve"> </w:t>
      </w:r>
      <w:r>
        <w:t xml:space="preserve">this on real systems we use a simple check: run each source through a battery of</w:t>
      </w:r>
      <w:r>
        <w:t xml:space="preserve"> </w:t>
      </w:r>
      <w:r>
        <w:t xml:space="preserve">pass/fail tasks, compare the pass rates, and attach confidence intervals so the</w:t>
      </w:r>
      <w:r>
        <w:t xml:space="preserve"> </w:t>
      </w:r>
      <w:r>
        <w:t xml:space="preserve">comparison is auditable (a distribution-free</w:t>
      </w:r>
      <w:r>
        <w:t xml:space="preserve"> </w:t>
      </w:r>
      <w:r>
        <w:rPr>
          <w:i/>
          <w:iCs/>
        </w:rPr>
        <w:t xml:space="preserve">verification</w:t>
      </w:r>
      <w:r>
        <w:t xml:space="preserve">). On six</w:t>
      </w:r>
      <w:r>
        <w:t xml:space="preserve"> </w:t>
      </w:r>
      <w:r>
        <w:t xml:space="preserve">language models from four vendors we confirm (</w:t>
      </w:r>
      <m:oMath>
        <m:r>
          <m:rPr>
            <m:sty m:val="p"/>
          </m:rPr>
          <m:t>≥</m:t>
        </m:r>
        <m:r>
          <m:t>90</m:t>
        </m:r>
        <m:r>
          <m:rPr>
            <m:sty m:val="p"/>
          </m:rPr>
          <m:t>%</m:t>
        </m:r>
      </m:oMath>
      <w:r>
        <w:t xml:space="preserve"> </w:t>
      </w:r>
      <w:r>
        <w:t xml:space="preserve">confidence, both</w:t>
      </w:r>
      <w:r>
        <w:t xml:space="preserve"> </w:t>
      </w:r>
      <w:r>
        <w:t xml:space="preserve">directions) that two hand-built sources are incomparable. On a designed trap</w:t>
      </w:r>
      <w:r>
        <w:t xml:space="preserve"> </w:t>
      </w:r>
      <w:r>
        <w:t xml:space="preserve">task a lexical score, two dense</w:t>
      </w:r>
      <w:r>
        <w:t xml:space="preserve"> </w:t>
      </w:r>
      <w:r>
        <w:t xml:space="preserve">retrievers, and a cross-encoder reranker all prefer the wrong source; only a</w:t>
      </w:r>
      <w:r>
        <w:t xml:space="preserve"> </w:t>
      </w:r>
      <w:r>
        <w:t xml:space="preserve">listwise LLM reranker, which reads the deciding detail, gets it right, exactly</w:t>
      </w:r>
      <w:r>
        <w:t xml:space="preserve"> </w:t>
      </w:r>
      <w:r>
        <w:t xml:space="preserve">the boundary the theory predicts. We also find that adding a strictly larger</w:t>
      </w:r>
      <w:r>
        <w:t xml:space="preserve"> </w:t>
      </w:r>
      <w:r>
        <w:t xml:space="preserve">source can</w:t>
      </w:r>
      <w:r>
        <w:t xml:space="preserve"> </w:t>
      </w:r>
      <w:r>
        <w:rPr>
          <w:i/>
          <w:iCs/>
        </w:rPr>
        <w:t xml:space="preserve">hurt</w:t>
      </w:r>
      <w:r>
        <w:t xml:space="preserve">: pass rates fall from</w:t>
      </w:r>
      <w:r>
        <w:t xml:space="preserve"> </w:t>
      </w:r>
      <m:oMath>
        <m:r>
          <m:t>100</m:t>
        </m:r>
        <m:r>
          <m:rPr>
            <m:sty m:val="p"/>
          </m:rPr>
          <m:t>%</m:t>
        </m:r>
      </m:oMath>
      <w:r>
        <w:t xml:space="preserve"> </w:t>
      </w:r>
      <w:r>
        <w:t xml:space="preserve">to as low as</w:t>
      </w:r>
      <w:r>
        <w:t xml:space="preserve"> </w:t>
      </w:r>
      <m:oMath>
        <m:r>
          <m:t>0</m:t>
        </m:r>
        <m:r>
          <m:rPr>
            <m:sty m:val="p"/>
          </m:rPr>
          <m:t>%</m:t>
        </m:r>
      </m:oMath>
      <w:r>
        <w:t xml:space="preserve">, and</w:t>
      </w:r>
      <w:r>
        <w:t xml:space="preserve"> </w:t>
      </w:r>
      <w:r>
        <w:t xml:space="preserve">controls rule out word order and length as the cause. The lesson is practical:</w:t>
      </w:r>
      <w:r>
        <w:t xml:space="preserve"> </w:t>
      </w:r>
      <w:r>
        <w:t xml:space="preserve">treat context selection as a partial-order problem, not a scalar ranking, and</w:t>
      </w:r>
      <w:r>
        <w:t xml:space="preserve"> </w:t>
      </w:r>
      <w:r>
        <w:t xml:space="preserve">compare sources by a verified pass-rate test rather than a relevance number. A</w:t>
      </w:r>
      <w:r>
        <w:t xml:space="preserve"> </w:t>
      </w:r>
      <w:r>
        <w:t xml:space="preserve">companion paper gives the selection rule this implies; scaling it to large</w:t>
      </w:r>
      <w:r>
        <w:t xml:space="preserve"> </w:t>
      </w:r>
      <w:r>
        <w:t xml:space="preserve">corpora is the main open problem.</w:t>
      </w:r>
    </w:p>
    <w:bookmarkStart w:id="18"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w:t>
      </w:r>
      <w:hyperlink w:anchor="ref-blackwell1953">
        <w:r>
          <w:rPr>
            <w:rStyle w:val="Hyperlink"/>
          </w:rPr>
          <w:t xml:space="preserve">Blackwell 1953</w:t>
        </w:r>
      </w:hyperlink>
      <w:r>
        <w:t xml:space="preserve">)</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what is new is applying it to context selection, reading cross-task</w:t>
      </w:r>
      <w:r>
        <w:t xml:space="preserve"> </w:t>
      </w:r>
      <w:r>
        <w:t xml:space="preserve">non-transfer as a partial order, and giving a test that checks it on a real model</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w:t>
      </w:r>
      <w:r>
        <w:t xml:space="preserve"> </w:t>
      </w:r>
      <w:r>
        <w:t xml:space="preserve">uniform verification 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w:t>
      </w:r>
      <w:r>
        <w:t xml:space="preserve"> </w:t>
      </w:r>
      <w:r>
        <w:t xml:space="preserve">the two-sided lower bounds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r>
          <m:rPr>
            <m:sty m:val="p"/>
          </m:rPr>
          <m:t>/</m:t>
        </m:r>
        <m:r>
          <m:t> </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 </w:t>
      </w:r>
      <w:r>
        <w:t xml:space="preserve">are</w:t>
      </w:r>
      <w:r>
        <w:t xml:space="preserve"> </w:t>
      </w:r>
      <w:r>
        <w:t xml:space="preserve">Haiku-4.5</w:t>
      </w:r>
      <w:r>
        <w:t xml:space="preserve"> </w:t>
      </w:r>
      <m:oMath>
        <m:r>
          <m:rPr>
            <m:sty m:val="p"/>
          </m:rPr>
          <m:t>+</m:t>
        </m:r>
        <m:r>
          <m:t>0.76</m:t>
        </m:r>
        <m:r>
          <m:t> </m:t>
        </m:r>
        <m:r>
          <m:rPr>
            <m:sty m:val="p"/>
          </m:rPr>
          <m:t>/</m:t>
        </m:r>
        <m:r>
          <m:t> </m:t>
        </m:r>
        <m:r>
          <m:rPr>
            <m:sty m:val="p"/>
          </m:rPr>
          <m:t>+</m:t>
        </m:r>
        <m:r>
          <m:t>0.76</m:t>
        </m:r>
      </m:oMath>
      <w:r>
        <w:t xml:space="preserve">,</w:t>
      </w:r>
      <w:r>
        <w:t xml:space="preserve"> </w:t>
      </w:r>
      <w:r>
        <w:t xml:space="preserve">Sonnet-4.6</w:t>
      </w:r>
      <w:r>
        <w:t xml:space="preserve"> </w:t>
      </w:r>
      <m:oMath>
        <m:r>
          <m:rPr>
            <m:sty m:val="p"/>
          </m:rPr>
          <m:t>+</m:t>
        </m:r>
        <m:r>
          <m:t>0.72</m:t>
        </m:r>
        <m:r>
          <m:t> </m:t>
        </m:r>
        <m:r>
          <m:rPr>
            <m:sty m:val="p"/>
          </m:rPr>
          <m:t>/</m:t>
        </m:r>
        <m:r>
          <m:t> </m:t>
        </m:r>
        <m:r>
          <m:rPr>
            <m:sty m:val="p"/>
          </m:rPr>
          <m:t>+</m:t>
        </m:r>
        <m:r>
          <m:t>0.76</m:t>
        </m:r>
      </m:oMath>
      <w:r>
        <w:t xml:space="preserve">,</w:t>
      </w:r>
      <w:r>
        <w:t xml:space="preserve"> </w:t>
      </w:r>
      <w:r>
        <w:t xml:space="preserve">Opus-4.8</w:t>
      </w:r>
      <w:r>
        <w:t xml:space="preserve"> </w:t>
      </w:r>
      <m:oMath>
        <m:r>
          <m:rPr>
            <m:sty m:val="p"/>
          </m:rPr>
          <m:t>+</m:t>
        </m:r>
        <m:r>
          <m:t>0.72</m:t>
        </m:r>
        <m:r>
          <m:t> </m:t>
        </m:r>
        <m:r>
          <m:rPr>
            <m:sty m:val="p"/>
          </m:rPr>
          <m:t>/</m:t>
        </m:r>
        <m:r>
          <m:t> </m:t>
        </m:r>
        <m:r>
          <m:rPr>
            <m:sty m:val="p"/>
          </m:rPr>
          <m:t>+</m:t>
        </m:r>
        <m:r>
          <m:t>0.76</m:t>
        </m:r>
      </m:oMath>
      <w:r>
        <w:t xml:space="preserve">,</w:t>
      </w:r>
      <w:r>
        <w:t xml:space="preserve"> </w:t>
      </w:r>
      <w:r>
        <w:t xml:space="preserve">GPT-5.5</w:t>
      </w:r>
      <w:r>
        <w:t xml:space="preserve"> </w:t>
      </w:r>
      <m:oMath>
        <m:r>
          <m:rPr>
            <m:sty m:val="p"/>
          </m:rPr>
          <m:t>+</m:t>
        </m:r>
        <m:r>
          <m:t>0.76</m:t>
        </m:r>
        <m:r>
          <m:t> </m:t>
        </m:r>
        <m:r>
          <m:rPr>
            <m:sty m:val="p"/>
          </m:rPr>
          <m:t>/</m:t>
        </m:r>
        <m:r>
          <m:t> </m:t>
        </m:r>
        <m:r>
          <m:rPr>
            <m:sty m:val="p"/>
          </m:rPr>
          <m:t>+</m:t>
        </m:r>
        <m:r>
          <m:t>0.76</m:t>
        </m:r>
      </m:oMath>
      <w:r>
        <w:t xml:space="preserve">,</w:t>
      </w:r>
      <w:r>
        <w:t xml:space="preserve"> </w:t>
      </w:r>
      <w:r>
        <w:t xml:space="preserve">DeepSeek-V4-Pro</w:t>
      </w:r>
      <w:r>
        <w:t xml:space="preserve"> </w:t>
      </w:r>
      <m:oMath>
        <m:r>
          <m:rPr>
            <m:sty m:val="p"/>
          </m:rPr>
          <m:t>+</m:t>
        </m:r>
        <m:r>
          <m:t>0.35</m:t>
        </m:r>
        <m:r>
          <m:t> </m:t>
        </m:r>
        <m:r>
          <m:rPr>
            <m:sty m:val="p"/>
          </m:rPr>
          <m:t>/</m:t>
        </m:r>
        <m:r>
          <m:t> </m:t>
        </m:r>
        <m:r>
          <m:rPr>
            <m:sty m:val="p"/>
          </m:rPr>
          <m:t>+</m:t>
        </m:r>
        <m:r>
          <m:t>0.72</m:t>
        </m:r>
      </m:oMath>
      <w:r>
        <w:t xml:space="preserve">, and</w:t>
      </w:r>
      <w:r>
        <w:t xml:space="preserve"> </w:t>
      </w:r>
      <w:r>
        <w:t xml:space="preserve">Kimi-K2.6</w:t>
      </w:r>
      <w:r>
        <w:t xml:space="preserve"> </w:t>
      </w:r>
      <m:oMath>
        <m:r>
          <m:rPr>
            <m:sty m:val="p"/>
          </m:rPr>
          <m:t>+</m:t>
        </m:r>
        <m:r>
          <m:t>0.68</m:t>
        </m:r>
        <m:r>
          <m:t> </m:t>
        </m:r>
        <m:r>
          <m:rPr>
            <m:sty m:val="p"/>
          </m:rPr>
          <m:t>/</m:t>
        </m:r>
        <m:r>
          <m:t> </m:t>
        </m:r>
        <m:r>
          <m:rPr>
            <m:sty m:val="p"/>
          </m:rPr>
          <m:t>+</m:t>
        </m:r>
        <m:r>
          <m:t>0.76</m:t>
        </m:r>
      </m:oMath>
      <w:r>
        <w:t xml:space="preserve"> </w:t>
      </w:r>
      <w:r>
        <w:t xml:space="preserve">(all</w:t>
      </w:r>
      <w:r>
        <w:t xml:space="preserve"> </w:t>
      </w:r>
      <m:oMath>
        <m:r>
          <m:t>n</m:t>
        </m:r>
        <m:r>
          <m:rPr>
            <m:sty m:val="p"/>
          </m:rPr>
          <m:t>=</m:t>
        </m:r>
        <m:r>
          <m:t>40</m:t>
        </m:r>
      </m:oMath>
      <w:r>
        <w:t xml:space="preserve">). Incomparability is therefore not a</w:t>
      </w:r>
      <w:r>
        <w:t xml:space="preserve"> </w:t>
      </w:r>
      <w:r>
        <w:t xml:space="preserve">single-lab artifact.</w:t>
      </w:r>
    </w:p>
    <w:p>
      <w:pPr>
        <w:numPr>
          <w:ilvl w:val="0"/>
          <w:numId w:val="1001"/>
        </w:numPr>
      </w:pPr>
      <w:r>
        <w:rPr>
          <w:b/>
          <w:bCs/>
        </w:rPr>
        <w:t xml:space="preserve">Representative topical rankers mis-rank the pair.</w:t>
      </w:r>
      <w:r>
        <w:t xml:space="preserve"> </w:t>
      </w:r>
      <w:r>
        <w:t xml:space="preserve">On a trap task</w:t>
      </w:r>
      <w:r>
        <w:t xml:space="preserve"> </w:t>
      </w:r>
      <w:r>
        <w:t xml:space="preserve">saturated with encoding vocabulary, query-conditioned lexical relevance scores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w:t>
      </w:r>
      <w:r>
        <w:t xml:space="preserve"> </w:t>
      </w:r>
      <w:r>
        <w:t xml:space="preserve">realized PASS ranks</w:t>
      </w:r>
      <w:r>
        <w:t xml:space="preserve"> </w:t>
      </w:r>
      <m:oMath>
        <m:sSub>
          <m:e>
            <m:r>
              <m:t>W</m:t>
            </m:r>
          </m:e>
          <m:sub>
            <m:r>
              <m:t>1</m:t>
            </m:r>
          </m:sub>
        </m:sSub>
        <m:r>
          <m:rPr>
            <m:sty m:val="p"/>
          </m:rPr>
          <m:t>≫</m:t>
        </m:r>
        <m:sSub>
          <m:e>
            <m:r>
              <m:t>W</m:t>
            </m:r>
          </m:e>
          <m:sub>
            <m:r>
              <m:t>2</m:t>
            </m:r>
          </m:sub>
        </m:sSub>
      </m:oMath>
      <w:r>
        <w:t xml:space="preserve"> </w:t>
      </w:r>
      <w:r>
        <w:t xml:space="preserve">(e.g. </w:t>
      </w:r>
      <m:oMath>
        <m:r>
          <m:t>96</m:t>
        </m:r>
      </m:oMath>
      <w:r>
        <w:t xml:space="preserve">–</w:t>
      </w:r>
      <m:oMath>
        <m:r>
          <m:t>100</m:t>
        </m:r>
        <m:r>
          <m:rPr>
            <m:sty m:val="p"/>
          </m:rPr>
          <m:t>%</m:t>
        </m:r>
      </m:oMath>
      <w:r>
        <w:t xml:space="preserve"> </w:t>
      </w:r>
      <w:r>
        <w:t xml:space="preserve">vs. </w:t>
      </w:r>
      <m:oMath>
        <m:r>
          <m:t>0</m:t>
        </m:r>
        <m:r>
          <m:rPr>
            <m:sty m:val="p"/>
          </m:rPr>
          <m:t>%</m:t>
        </m:r>
      </m:oMath>
      <w:r>
        <w:t xml:space="preserve">), and the</w:t>
      </w:r>
      <w:r>
        <w:t xml:space="preserve"> </w:t>
      </w:r>
      <w:r>
        <w:t xml:space="preserve">same mis-rank is realized by two dense bi-encoders and a cross-encoder</w:t>
      </w:r>
      <w:r>
        <w:t xml:space="preserve"> </w:t>
      </w:r>
      <w:r>
        <w:t xml:space="preserve">reranker, while an LLM listwise reranker ranks the trap correctly</w:t>
      </w:r>
      <w:r>
        <w:t xml:space="preserve"> </w:t>
      </w:r>
      <w:r>
        <w:t xml:space="preserve">(§7.4.2). On the honest tasks every ranker agrees with</w:t>
      </w:r>
      <w:r>
        <w:t xml:space="preserve"> </w:t>
      </w:r>
      <w:r>
        <w:t xml:space="preserve">PASS; failure occurs</w:t>
      </w:r>
      <w:r>
        <w:t xml:space="preserve"> </w:t>
      </w:r>
      <w:r>
        <w:rPr>
          <w:i/>
          <w:iCs/>
        </w:rPr>
        <w:t xml:space="preserve">only</w:t>
      </w:r>
      <w:r>
        <w:t xml:space="preserve"> </w:t>
      </w:r>
      <w:r>
        <w:t xml:space="preserve">where surface relevance diverges from</w:t>
      </w:r>
      <w:r>
        <w:t xml:space="preserve"> </w:t>
      </w:r>
      <w:r>
        <w:t xml:space="preserve">verifier-decisive content, exactly the boundary</w:t>
      </w:r>
      <w:r>
        <w:t xml:space="preserve"> </w:t>
      </w:r>
      <w:r>
        <w:t xml:space="preserve">Proposition 2 predicts: topical feature-based</w:t>
      </w:r>
      <w:r>
        <w:t xml:space="preserve"> </w:t>
      </w:r>
      <w:r>
        <w:t xml:space="preserve">rankers must fail there, while rankers that read the decisive coordinate can</w:t>
      </w:r>
      <w:r>
        <w:t xml:space="preserve"> </w:t>
      </w:r>
      <w:r>
        <w:t xml:space="preserve">escape.</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 operator</w:t>
      </w:r>
      <w:r>
        <w:t xml:space="preserve"> </w:t>
      </w:r>
      <m:oMath>
        <m:r>
          <m:t> </m:t>
        </m:r>
        <m:r>
          <m:rPr>
            <m:sty m:val="p"/>
          </m:rPr>
          <m:t>+</m:t>
        </m:r>
        <m:r>
          <m:rPr>
            <m:sty m:val="p"/>
          </m:rPr>
          <m:t>+</m:t>
        </m:r>
        <m:r>
          <m:t> </m:t>
        </m:r>
      </m:oMath>
      <w:r>
        <w:t xml:space="preserve"> </w:t>
      </w:r>
      <w:r>
        <w:t xml:space="preserve">is text concatenation:</w:t>
      </w:r>
      <w:r>
        <w:t xml:space="preserve"> </w:t>
      </w:r>
      <m:oMath>
        <m:sSub>
          <m:e>
            <m:r>
              <m:t>W</m:t>
            </m:r>
          </m:e>
          <m:sub>
            <m:r>
              <m:t>2</m:t>
            </m:r>
          </m:sub>
        </m:sSub>
      </m:oMath>
      <w:r>
        <w:t xml:space="preserve">’s note followed by</w:t>
      </w:r>
      <w:r>
        <w:t xml:space="preserve"> </w:t>
      </w:r>
      <m:oMath>
        <m:sSub>
          <m:e>
            <m:r>
              <m:t>W</m:t>
            </m:r>
          </m:e>
          <m:sub>
            <m:r>
              <m:t>1</m:t>
            </m:r>
          </m:sub>
        </m:sSub>
      </m:oMath>
      <w:r>
        <w:t xml:space="preserve">’s),</w:t>
      </w:r>
      <w:r>
        <w:t xml:space="preserve"> </w:t>
      </w:r>
      <w:r>
        <w:t xml:space="preserve">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Sonnet and Kimi collapse</w:t>
      </w:r>
      <w:r>
        <w:t xml:space="preserve"> </w:t>
      </w:r>
      <m:oMath>
        <m:r>
          <m:t>100</m:t>
        </m:r>
        <m:r>
          <m:rPr>
            <m:sty m:val="p"/>
          </m:rPr>
          <m:t>%</m:t>
        </m:r>
        <m:r>
          <m:rPr>
            <m:sty m:val="p"/>
          </m:rPr>
          <m:t>→</m:t>
        </m:r>
        <m:r>
          <m:t>0</m:t>
        </m:r>
        <m:r>
          <m:rPr>
            <m:sty m:val="p"/>
          </m:rPr>
          <m:t>%</m:t>
        </m:r>
      </m:oMath>
      <w:r>
        <w:t xml:space="preserve"> </w:t>
      </w:r>
      <w:r>
        <w:t xml:space="preserve">(interference</w:t>
      </w:r>
      <w:r>
        <w:t xml:space="preserve"> </w:t>
      </w:r>
      <m:oMath>
        <m:sSub>
          <m:e>
            <m:r>
              <m:rPr>
                <m:sty m:val="p"/>
              </m:rPr>
              <m:t>Ψ</m:t>
            </m:r>
          </m:e>
          <m:sub>
            <m:r>
              <m:t>T</m:t>
            </m:r>
          </m:sub>
        </m:sSub>
        <m:r>
          <m:rPr>
            <m:sty m:val="p"/>
          </m:rPr>
          <m:t>=</m:t>
        </m:r>
        <m:r>
          <m:rPr>
            <m:sty m:val="p"/>
          </m:rPr>
          <m:t>−</m:t>
        </m:r>
        <m:r>
          <m:t>1.00</m:t>
        </m:r>
      </m:oMath>
      <w:r>
        <w:t xml:space="preserve">,</w:t>
      </w:r>
      <w:r>
        <w:t xml:space="preserve"> </w:t>
      </w:r>
      <w:r>
        <w:t xml:space="preserve">verified upper bound</w:t>
      </w:r>
      <w:r>
        <w:t xml:space="preserve"> </w:t>
      </w:r>
      <m:oMath>
        <m:r>
          <m:rPr>
            <m:sty m:val="p"/>
          </m:rPr>
          <m:t>≤</m:t>
        </m:r>
        <m:r>
          <m:rPr>
            <m:sty m:val="p"/>
          </m:rPr>
          <m:t>−</m:t>
        </m:r>
        <m:r>
          <m:t>0.69</m:t>
        </m:r>
      </m:oMath>
      <w:r>
        <w:t xml:space="preserve">); GPT-5.5 verifies</w:t>
      </w:r>
      <w:r>
        <w:t xml:space="preserve"> </w:t>
      </w:r>
      <m:oMath>
        <m:sSub>
          <m:e>
            <m:r>
              <m:rPr>
                <m:sty m:val="p"/>
              </m:rPr>
              <m:t>Ψ</m:t>
            </m:r>
          </m:e>
          <m:sub>
            <m:r>
              <m:t>T</m:t>
            </m:r>
          </m:sub>
        </m:sSub>
        <m:r>
          <m:rPr>
            <m:sty m:val="p"/>
          </m:rPr>
          <m:t>≤</m:t>
        </m:r>
        <m:r>
          <m:rPr>
            <m:sty m:val="p"/>
          </m:rPr>
          <m:t>−</m:t>
        </m:r>
        <m:r>
          <m:t>0.60</m:t>
        </m:r>
      </m:oMath>
      <w:r>
        <w:t xml:space="preserve"> </w:t>
      </w:r>
      <w:r>
        <w:t xml:space="preserve">on</w:t>
      </w:r>
      <w:r>
        <w:t xml:space="preserve"> </w:t>
      </w:r>
      <w:r>
        <w:rPr>
          <w:rStyle w:val="VerbatimChar"/>
        </w:rPr>
        <w:t xml:space="preserve">api_post_ok</w:t>
      </w:r>
      <w:r>
        <w:t xml:space="preserve">. The interference verification clears on at least one</w:t>
      </w:r>
      <w:r>
        <w:t xml:space="preserve"> </w:t>
      </w:r>
      <w:r>
        <w:t xml:space="preserve">cell for five of six models (Opus reproduces the collapse,</w:t>
      </w:r>
      <w:r>
        <w:t xml:space="preserve"> </w:t>
      </w:r>
      <m:oMath>
        <m:r>
          <m:t>100</m:t>
        </m:r>
        <m:r>
          <m:rPr>
            <m:sty m:val="p"/>
          </m:rPr>
          <m:t>%</m:t>
        </m:r>
        <m:r>
          <m:rPr>
            <m:sty m:val="p"/>
          </m:rPr>
          <m:t>→</m:t>
        </m:r>
        <m:r>
          <m:t>38</m:t>
        </m:r>
        <m:r>
          <m:rPr>
            <m:sty m:val="p"/>
          </m:rPr>
          <m:t>%</m:t>
        </m:r>
      </m:oMath>
      <w:r>
        <w:t xml:space="preserve">,</w:t>
      </w:r>
      <w:r>
        <w:t xml:space="preserve"> </w:t>
      </w:r>
      <w:r>
        <w:t xml:space="preserve">but its milder drop and partly-guessable baseline keep it below the bar;</w:t>
      </w:r>
      <w:r>
        <w:t xml:space="preserve"> </w:t>
      </w:r>
      <w:r>
        <w:t xml:space="preserve">§7.4.3). A</w:t>
      </w:r>
      <w:r>
        <w:t xml:space="preserve"> </w:t>
      </w:r>
      <w:r>
        <w:t xml:space="preserve">length-matched padding control shows equal-length irrelevant text is</w:t>
      </w:r>
      <w:r>
        <w:t xml:space="preserve"> </w:t>
      </w:r>
      <w:r>
        <w:t xml:space="preserve">harmless, so the harm is the added signal, not token count or position. One</w:t>
      </w:r>
      <w:r>
        <w:t xml:space="preserve"> </w:t>
      </w:r>
      <w:r>
        <w:t xml:space="preserve">caveat: the effect is large and robust across the capability ladder but is</w:t>
      </w:r>
      <w:r>
        <w:t xml:space="preserve"> </w:t>
      </w:r>
      <w:r>
        <w:rPr>
          <w:i/>
          <w:iCs/>
        </w:rPr>
        <w:t xml:space="preserve">not</w:t>
      </w:r>
      <w:r>
        <w:t xml:space="preserve"> </w:t>
      </w:r>
      <w:r>
        <w:t xml:space="preserve">monotone in capability (Sonnet, the middle model, is the starkest;</w:t>
      </w:r>
      <w:r>
        <w:t xml:space="preserve"> </w:t>
      </w:r>
      <w:r>
        <w:t xml:space="preserve">Opus, the strongest, less so), so we claim no 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we report it as supporting evidence that caps which cells</w:t>
      </w:r>
      <w:r>
        <w:t xml:space="preserve"> </w:t>
      </w:r>
      <w:r>
        <w:t xml:space="preserve">can be verified per model, not as a headline claim.</w:t>
      </w:r>
    </w:p>
    <w:bookmarkEnd w:id="12"/>
    <w:bookmarkStart w:id="13" w:name="how-we-ran-the-models."/>
    <w:p>
      <w:pPr>
        <w:pStyle w:val="Heading4"/>
      </w:pPr>
      <w:r>
        <w:t xml:space="preserve">How we ran the models.</w:t>
      </w:r>
    </w:p>
    <w:p>
      <w:pPr>
        <w:pStyle w:val="FirstParagraph"/>
      </w:pPr>
      <w:r>
        <w:t xml:space="preserve">All six models are run the same way: a single API call per attempt, from which we extract the</w:t>
      </w:r>
      <w:r>
        <w:t xml:space="preserve"> </w:t>
      </w:r>
      <w:r>
        <w:t xml:space="preserve">candidate code and grade it with the verifier. This keeps the setup uniform across vendors, so a</w:t>
      </w:r>
      <w:r>
        <w:t xml:space="preserve"> </w:t>
      </w:r>
      <w:r>
        <w:t xml:space="preserve">difference between models reflects the model, not how it was run.</w:t>
      </w:r>
    </w:p>
    <w:bookmarkEnd w:id="13"/>
    <w:bookmarkStart w:id="14" w:name="contributions."/>
    <w:p>
      <w:pPr>
        <w:pStyle w:val="Heading4"/>
      </w:pPr>
      <w:r>
        <w:t xml:space="preserve">Contributions.</w:t>
      </w:r>
    </w:p>
    <w:p>
      <w:pPr>
        <w:pStyle w:val="FirstParagraph"/>
      </w:pPr>
      <w:r>
        <w:t xml:space="preserve">The paper makes one claim, context selection is a partial-order</w:t>
      </w:r>
      <w:r>
        <w:t xml:space="preserve"> </w:t>
      </w:r>
      <w:r>
        <w:t xml:space="preserve">problem rather than a scalar-ranking problem, and contributes exactly the three pieces that</w:t>
      </w:r>
      <w:r>
        <w:t xml:space="preserve"> </w:t>
      </w:r>
      <w:r>
        <w:t xml:space="preserve">claim needs.</w:t>
      </w:r>
    </w:p>
    <w:p>
      <w:pPr>
        <w:numPr>
          <w:ilvl w:val="0"/>
          <w:numId w:val="1002"/>
        </w:numPr>
      </w:pPr>
      <w:r>
        <w:rPr>
          <w:b/>
          <w:bCs/>
        </w:rPr>
        <w:t xml:space="preserve">Theory: context sources form a Blackwell partial order</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The central consequence is incomparability: Blackwell-incomparable sources cannot be</w:t>
      </w:r>
      <w:r>
        <w:t xml:space="preserve"> </w:t>
      </w:r>
      <w:r>
        <w:t xml:space="preserve">ranked by</w:t>
      </w:r>
      <w:r>
        <w:t xml:space="preserve"> </w:t>
      </w:r>
      <w:r>
        <w:rPr>
          <w:i/>
          <w:iCs/>
        </w:rPr>
        <w:t xml:space="preserve">any</w:t>
      </w:r>
      <w:r>
        <w:t xml:space="preserve"> </w:t>
      </w:r>
      <w:r>
        <w:t xml:space="preserve">query-independent scalar</w:t>
      </w:r>
      <w:r>
        <w:t xml:space="preserve"> </w:t>
      </w:r>
      <m:oMath>
        <m:r>
          <m:t>φ</m:t>
        </m:r>
        <m:r>
          <m:rPr>
            <m:sty m:val="p"/>
          </m:rPr>
          <m:t>(</m:t>
        </m:r>
        <m:r>
          <m:t>W</m:t>
        </m:r>
        <m:r>
          <m:rPr>
            <m:sty m:val="p"/>
          </m:rPr>
          <m:t>)</m:t>
        </m:r>
      </m:oMath>
      <w:r>
        <w:t xml:space="preserve"> </w:t>
      </w:r>
      <w:r>
        <w:t xml:space="preserve">for all tasks</w:t>
      </w:r>
      <w:r>
        <w:t xml:space="preserve"> </w:t>
      </w:r>
      <w:r>
        <w:t xml:space="preserve">(Theorem 2), with the query-conditioned topical case isolated separately</w:t>
      </w:r>
      <w:r>
        <w:t xml:space="preserve"> </w:t>
      </w:r>
      <w:r>
        <w:t xml:space="preserve">(Proposition 2). Information retrieval has long argued that no single</w:t>
      </w:r>
      <w:r>
        <w:t xml:space="preserve"> </w:t>
      </w:r>
      <w:r>
        <w:t xml:space="preserve">fixed document score is optimal once documents interact (§2.1); we derive the</w:t>
      </w:r>
      <w:r>
        <w:t xml:space="preserve"> </w:t>
      </w:r>
      <w:r>
        <w:t xml:space="preserve">impossibility as a theorem in the Blackwell frame.</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w:t>
      </w:r>
      <w:hyperlink w:anchor="ref-clopperpearson1934">
        <w:r>
          <w:rPr>
            <w:rStyle w:val="Hyperlink"/>
          </w:rPr>
          <w:t xml:space="preserve">Clopper and Pearson 1934</w:t>
        </w:r>
      </w:hyperlink>
      <w:r>
        <w:t xml:space="preserve">)</w:t>
      </w:r>
      <w:r>
        <w:t xml:space="preserve"> </w:t>
      </w:r>
      <w:r>
        <w:t xml:space="preserve">at Bonferroni</w:t>
      </w:r>
      <w:r>
        <w:t xml:space="preserve"> </w:t>
      </w:r>
      <w:r>
        <w:t xml:space="preserve">level </w:t>
      </w:r>
      <w:r>
        <w:t xml:space="preserve">(</w:t>
      </w:r>
      <w:hyperlink w:anchor="ref-bonferroni1936">
        <w:r>
          <w:rPr>
            <w:rStyle w:val="Hyperlink"/>
          </w:rPr>
          <w:t xml:space="preserve">Bonferroni 1936</w:t>
        </w:r>
      </w:hyperlink>
      <w:r>
        <w:t xml:space="preserve">)</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w:t>
      </w:r>
      <w:hyperlink w:anchor="ref-dvoretzky1956">
        <w:r>
          <w:rPr>
            <w:rStyle w:val="Hyperlink"/>
          </w:rPr>
          <w:t xml:space="preserve">Dvoretzky et al. 1956</w:t>
        </w:r>
      </w:hyperlink>
      <w:r>
        <w:t xml:space="preserve">)</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§8.6.</w:t>
      </w:r>
    </w:p>
    <w:bookmarkEnd w:id="14"/>
    <w:bookmarkStart w:id="15" w:name="roadmap."/>
    <w:p>
      <w:pPr>
        <w:pStyle w:val="Heading4"/>
      </w:pPr>
      <w:r>
        <w:t xml:space="preserve">Roadmap.</w:t>
      </w:r>
    </w:p>
    <w:p>
      <w:pPr>
        <w:pStyle w:val="FirstParagraph"/>
      </w:pPr>
      <w:r>
        <w:t xml:space="preserve">§2 positions the work against scalar context-selection criteria</w:t>
      </w:r>
      <w:r>
        <w:t xml:space="preserve"> </w:t>
      </w:r>
      <w:r>
        <w:t xml:space="preserve">and the recent transport of comparison-of-experiments into machine learning, and</w:t>
      </w:r>
      <w:r>
        <w:t xml:space="preserve"> </w:t>
      </w:r>
      <w:r>
        <w:t xml:space="preserve">frames our delta as application-plus-framing-plus-estimator rather than new core</w:t>
      </w:r>
      <w:r>
        <w:t xml:space="preserve"> </w:t>
      </w:r>
      <w:r>
        <w:t xml:space="preserve">mathematics. §3 gives the latent-coordinate experiment</w:t>
      </w:r>
      <w:r>
        <w:t xml:space="preserve"> </w:t>
      </w:r>
      <w:r>
        <w:t xml:space="preserve">model and defines</w:t>
      </w:r>
      <w:r>
        <w:t xml:space="preserve"> </w:t>
      </w:r>
      <m:oMath>
        <m:r>
          <m:t>θ</m:t>
        </m:r>
      </m:oMath>
      <w:r>
        <w:t xml:space="preserve">. §4 develops the partial order, the</w:t>
      </w:r>
      <w:r>
        <w:t xml:space="preserve"> </w:t>
      </w:r>
      <m:oMath>
        <m:sSub>
          <m:e>
            <m:r>
              <m:t>δ</m:t>
            </m:r>
          </m:e>
          <m:sub>
            <m:r>
              <m:t>M</m:t>
            </m:r>
          </m:sub>
        </m:sSub>
      </m:oMath>
      <w:r>
        <w:t xml:space="preserve">-restricted order, the non-refinement construction, and the bridging lemma, and §5 proves</w:t>
      </w:r>
      <w:r>
        <w:t xml:space="preserve"> </w:t>
      </w:r>
      <w:r>
        <w:t xml:space="preserve">the source-level incomparability statement and isolates the query-conditioned</w:t>
      </w:r>
      <w:r>
        <w:t xml:space="preserve"> </w:t>
      </w:r>
      <w:r>
        <w:t xml:space="preserve">case (C1). §6 defines the surrogate, the uniform verification,</w:t>
      </w:r>
      <w:r>
        <w:t xml:space="preserve"> </w:t>
      </w:r>
      <w:r>
        <w:t xml:space="preserve">and the interference verification, and relates the surrogate to the true Le Cam</w:t>
      </w:r>
      <w:r>
        <w:t xml:space="preserve"> </w:t>
      </w:r>
      <w:r>
        <w:t xml:space="preserve">deficiency (C2). §7 reports the six-model program with full</w:t>
      </w:r>
      <w:r>
        <w:t xml:space="preserve"> </w:t>
      </w:r>
      <w:r>
        <w:t xml:space="preserve">per-cell tables (C3). §8.6 states threats to validity and</w:t>
      </w:r>
      <w:r>
        <w:t xml:space="preserve"> </w:t>
      </w:r>
      <w:r>
        <w:t xml:space="preserve">scope, and §9 concludes. Proofs of the two central impossibility results</w:t>
      </w:r>
      <w:r>
        <w:t xml:space="preserve"> </w:t>
      </w:r>
      <w:r>
        <w:t xml:space="preserve">(Theorem 2, Proposition 2) accompany their</w:t>
      </w:r>
      <w:r>
        <w:t xml:space="preserve"> </w:t>
      </w:r>
      <w:r>
        <w:t xml:space="preserve">statements; the remaining proofs and technical material are deferred to</w:t>
      </w:r>
      <w:r>
        <w:t xml:space="preserve"> </w:t>
      </w:r>
      <w:r>
        <w:t xml:space="preserve">Appendix A, the extended experimental record to Appendix B, and</w:t>
      </w:r>
      <w:r>
        <w:t xml:space="preserve"> </w:t>
      </w:r>
      <w:r>
        <w:t xml:space="preserve">protocol and artifact details to Appendix C. Every reference has been verified</w:t>
      </w:r>
      <w:r>
        <w:t xml:space="preserve"> </w:t>
      </w:r>
      <w:r>
        <w:t xml:space="preserve">against arXiv/DBLP/publisher records.</w:t>
      </w:r>
    </w:p>
    <w:bookmarkEnd w:id="15"/>
    <w:bookmarkStart w:id="17"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w:t>
      </w:r>
    </w:p>
    <w:bookmarkStart w:id="16"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Ψ</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6"/>
    <w:bookmarkEnd w:id="17"/>
    <w:bookmarkEnd w:id="18"/>
    <w:bookmarkStart w:id="28" w:name="sec:related"/>
    <w:p>
      <w:pPr>
        <w:pStyle w:val="Heading1"/>
      </w:pPr>
      <w:r>
        <w:t xml:space="preserve">Related Work</w:t>
      </w:r>
    </w:p>
    <w:bookmarkStart w:id="19" w:name="positioning."/>
    <w:p>
      <w:pPr>
        <w:pStyle w:val="Heading4"/>
      </w:pPr>
      <w:r>
        <w:t xml:space="preserve">Positioning.</w:t>
      </w:r>
    </w:p>
    <w:p>
      <w:pPr>
        <w:pStyle w:val="FirstParagraph"/>
      </w:pPr>
      <w:r>
        <w:t xml:space="preserve">The tools we use are classical, Blackwell’s garbling order </w:t>
      </w:r>
      <w:r>
        <w:t xml:space="preserve">(</w:t>
      </w:r>
      <w:hyperlink w:anchor="ref-blackwell1953">
        <w:r>
          <w:rPr>
            <w:rStyle w:val="Hyperlink"/>
          </w:rPr>
          <w:t xml:space="preserve">Blackwell 1953</w:t>
        </w:r>
      </w:hyperlink>
      <w:r>
        <w:t xml:space="preserve">)</w:t>
      </w:r>
      <w:r>
        <w:t xml:space="preserve"> </w:t>
      </w:r>
      <w:r>
        <w:t xml:space="preserve">and Le Cam’s</w:t>
      </w:r>
      <w:r>
        <w:t xml:space="preserve"> </w:t>
      </w:r>
      <w:r>
        <w:t xml:space="preserve">deficiency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we add no new core mathematics. Our contribution is to</w:t>
      </w:r>
      <w:r>
        <w:t xml:space="preserve"> </w:t>
      </w:r>
      <w:r>
        <w:t xml:space="preserve">apply, frame, and measure. (i) We treat each candidate source as a statistical experiment on what</w:t>
      </w:r>
      <w:r>
        <w:t xml:space="preserve"> </w:t>
      </w:r>
      <w:r>
        <w:t xml:space="preserve">the task needs and rank sources by the Blackwell order, which gives a guarantee that holds for</w:t>
      </w:r>
      <w:r>
        <w:t xml:space="preserve"> </w:t>
      </w:r>
      <w:r>
        <w:t xml:space="preserve">every task at once, not just one (§4). (ii) We point out a direct consequence of</w:t>
      </w:r>
      <w:r>
        <w:t xml:space="preserve"> </w:t>
      </w:r>
      <w:r>
        <w:t xml:space="preserve">Blackwell’s theorem, that</w:t>
      </w:r>
      <w:r>
        <w:t xml:space="preserve"> </w:t>
      </w:r>
      <w:r>
        <w:rPr>
          <w:i/>
          <w:iCs/>
        </w:rPr>
        <w:t xml:space="preserve">incomparable</w:t>
      </w:r>
      <w:r>
        <w:t xml:space="preserve"> </w:t>
      </w:r>
      <w:r>
        <w:t xml:space="preserve">sources cannot be ranked by any scalar score for all</w:t>
      </w:r>
      <w:r>
        <w:t xml:space="preserve"> </w:t>
      </w:r>
      <w:r>
        <w:t xml:space="preserve">tasks (§5), turning the folklore</w:t>
      </w:r>
      <w:r>
        <w:t xml:space="preserve"> </w:t>
      </w:r>
      <w:r>
        <w:t xml:space="preserve">“relevance does not transfer across</w:t>
      </w:r>
      <w:r>
        <w:t xml:space="preserve"> </w:t>
      </w:r>
      <w:r>
        <w:t xml:space="preserve">tasks”</w:t>
      </w:r>
      <w:r>
        <w:t xml:space="preserve"> </w:t>
      </w:r>
      <w:r>
        <w:t xml:space="preserve">into a theorem and tying it to a limit information retrieval has long known for interacting</w:t>
      </w:r>
      <w:r>
        <w:t xml:space="preserve"> </w:t>
      </w:r>
      <w:r>
        <w:t xml:space="preserve">documents (§2.1). (iii) We supply a value-deficiency</w:t>
      </w:r>
      <w:r>
        <w:t xml:space="preserve"> </w:t>
      </w:r>
      <w:r>
        <w:rPr>
          <w:i/>
          <w:iCs/>
        </w:rPr>
        <w:t xml:space="preserve">surrogate</w:t>
      </w:r>
      <w:r>
        <w:t xml:space="preserve"> </w:t>
      </w:r>
      <w:r>
        <w:t xml:space="preserve">with a</w:t>
      </w:r>
      <w:r>
        <w:t xml:space="preserve"> </w:t>
      </w:r>
      <w:r>
        <w:t xml:space="preserve">verification that can be checked on a real model with a real verifier (§6). We</w:t>
      </w:r>
      <w:r>
        <w:t xml:space="preserve"> </w:t>
      </w:r>
      <w:r>
        <w:t xml:space="preserve">know of no prior work that uses the comparison of experiments to choose a language model’s context</w:t>
      </w:r>
      <w:r>
        <w:t xml:space="preserve"> </w:t>
      </w:r>
      <w:r>
        <w:t xml:space="preserve">at inference time.</w:t>
      </w:r>
    </w:p>
    <w:bookmarkEnd w:id="19"/>
    <w:bookmarkStart w:id="21" w:name="sec:related-scalar"/>
    <w:p>
      <w:pPr>
        <w:pStyle w:val="Heading2"/>
      </w:pPr>
      <w:r>
        <w:t xml:space="preserve">Scalar selection and its limits in information retrieval</w:t>
      </w:r>
    </w:p>
    <w:p>
      <w:pPr>
        <w:pStyle w:val="FirstParagraph"/>
      </w:pPr>
      <w:bookmarkStart w:id="20" w:name="sec:related-ir"/>
      <w:bookmarkEnd w:id="20"/>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w:t>
      </w:r>
      <w:hyperlink w:anchor="ref-rankrag2024">
        <w:r>
          <w:rPr>
            <w:rStyle w:val="Hyperlink"/>
          </w:rPr>
          <w:t xml:space="preserve">Yu et al. 2024</w:t>
        </w:r>
      </w:hyperlink>
      <w:r>
        <w:t xml:space="preserve">)</w:t>
      </w:r>
      <w:r>
        <w:t xml:space="preserve">;</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 </w:t>
      </w:r>
      <w:hyperlink w:anchor="ref-cale2025">
        <w:r>
          <w:rPr>
            <w:rStyle w:val="Hyperlink"/>
          </w:rPr>
          <w:t xml:space="preserve">Yuan et al. 2025</w:t>
        </w:r>
      </w:hyperlink>
      <w:r>
        <w:t xml:space="preserve">)</w:t>
      </w:r>
      <w:r>
        <w:t xml:space="preserve">; expected information gain and Bayesian</w:t>
      </w:r>
      <w:r>
        <w:t xml:space="preserve"> </w:t>
      </w:r>
      <w:r>
        <w:t xml:space="preserve">experimental design </w:t>
      </w:r>
      <w:r>
        <w:t xml:space="preserve">(</w:t>
      </w:r>
      <w:hyperlink w:anchor="ref-bedllm2026">
        <w:r>
          <w:rPr>
            <w:rStyle w:val="Hyperlink"/>
          </w:rPr>
          <w:t xml:space="preserve">Choudhury et al. 2025</w:t>
        </w:r>
      </w:hyperlink>
      <w:r>
        <w:t xml:space="preserve">;</w:t>
      </w:r>
      <w:r>
        <w:t xml:space="preserve"> </w:t>
      </w:r>
      <w:hyperlink w:anchor="ref-conformalip2025">
        <w:r>
          <w:rPr>
            <w:rStyle w:val="Hyperlink"/>
          </w:rPr>
          <w:t xml:space="preserve">Chan et al. 2025</w:t>
        </w:r>
      </w:hyperlink>
      <w:r>
        <w:t xml:space="preserve">)</w:t>
      </w:r>
      <w:r>
        <w:t xml:space="preserve">; game-theoretic and influence-based</w:t>
      </w:r>
      <w:r>
        <w:t xml:space="preserve"> </w:t>
      </w:r>
      <w:r>
        <w:t xml:space="preserve">demonstration valuation </w:t>
      </w:r>
      <w:r>
        <w:t xml:space="preserve">(</w:t>
      </w:r>
      <w:hyperlink w:anchor="ref-demoshapley2024">
        <w:r>
          <w:rPr>
            <w:rStyle w:val="Hyperlink"/>
          </w:rPr>
          <w:t xml:space="preserve">Xie et al. 2024</w:t>
        </w:r>
      </w:hyperlink>
      <w:r>
        <w:t xml:space="preserve">;</w:t>
      </w:r>
      <w:r>
        <w:t xml:space="preserve"> </w:t>
      </w:r>
      <w:hyperlink w:anchor="ref-inficl2024">
        <w:r>
          <w:rPr>
            <w:rStyle w:val="Hyperlink"/>
          </w:rPr>
          <w:t xml:space="preserve">Vinay et al. 2024</w:t>
        </w:r>
      </w:hyperlink>
      <w:r>
        <w:t xml:space="preserve">)</w:t>
      </w:r>
      <w:r>
        <w:t xml:space="preserve">; and binary sufficient-context</w:t>
      </w:r>
      <w:r>
        <w:t xml:space="preserve"> </w:t>
      </w:r>
      <w:r>
        <w:t xml:space="preserve">detection </w:t>
      </w:r>
      <w:r>
        <w:t xml:space="preserve">(</w:t>
      </w:r>
      <w:hyperlink w:anchor="ref-sufficientcontext2024">
        <w:r>
          <w:rPr>
            <w:rStyle w:val="Hyperlink"/>
          </w:rPr>
          <w:t xml:space="preserve">Joren et al. 2024</w:t>
        </w:r>
      </w:hyperlink>
      <w:r>
        <w:t xml:space="preserve">)</w:t>
      </w:r>
      <w:r>
        <w:t xml:space="preserve">. Each collapses the comparison of two sources to one real</w:t>
      </w:r>
      <w:r>
        <w:t xml:space="preserve"> </w:t>
      </w:r>
      <w:r>
        <w:t xml:space="preserve">number and is therefore a scalar of the kind the paper rules out</w:t>
      </w:r>
      <w:r>
        <w:t xml:space="preserve"> </w:t>
      </w:r>
      <w:r>
        <w:t xml:space="preserve">(Theorem 2 for query-independent scores,</w:t>
      </w:r>
      <w:r>
        <w:t xml:space="preserve"> </w:t>
      </w:r>
      <w:r>
        <w:t xml:space="preserve">Proposition 2 for topical query-conditioned ones): not a</w:t>
      </w:r>
      <w:r>
        <w:t xml:space="preserve"> </w:t>
      </w:r>
      <w:r>
        <w:t xml:space="preserve">competitor to out-perform but an instance of the excluded class (we prove</w:t>
      </w:r>
      <w:r>
        <w:t xml:space="preserve"> </w:t>
      </w:r>
      <w:r>
        <w:t xml:space="preserve">Blackwell-monotonicity for the closest neighbour,</w:t>
      </w:r>
      <w:r>
        <w:t xml:space="preserve"> </w:t>
      </w:r>
      <m:oMath>
        <m:r>
          <m:rPr>
            <m:scr m:val="script"/>
            <m:sty m:val="p"/>
          </m:rPr>
          <m:t>V</m:t>
        </m:r>
      </m:oMath>
      <w:r>
        <w:t xml:space="preserve">-usable information, in</w:t>
      </w:r>
      <w:r>
        <w:t xml:space="preserve"> </w:t>
      </w:r>
      <w:r>
        <w:t xml:space="preserve">Proposition 1, and conjecture it for the rest). Two families sit at the</w:t>
      </w:r>
      <w:r>
        <w:t xml:space="preserve"> </w:t>
      </w:r>
      <w:r>
        <w:t xml:space="preserve">boundary of the class. Listwise LLM rerankers </w:t>
      </w:r>
      <w:r>
        <w:t xml:space="preserve">(</w:t>
      </w:r>
      <w:hyperlink w:anchor="ref-sun2023rankgpt">
        <w:r>
          <w:rPr>
            <w:rStyle w:val="Hyperlink"/>
          </w:rPr>
          <w:t xml:space="preserve">Sun et al. 2023</w:t>
        </w:r>
      </w:hyperlink>
      <w:r>
        <w:t xml:space="preserve">)</w:t>
      </w:r>
      <w:r>
        <w:t xml:space="preserve"> </w:t>
      </w:r>
      <w:r>
        <w:t xml:space="preserve">are query-conditioned</w:t>
      </w:r>
      <w:r>
        <w:t xml:space="preserve"> </w:t>
      </w:r>
      <w:r>
        <w:rPr>
          <w:i/>
          <w:iCs/>
        </w:rPr>
        <w:t xml:space="preserve">set</w:t>
      </w:r>
      <w:r>
        <w:t xml:space="preserve"> </w:t>
      </w:r>
      <w:r>
        <w:t xml:space="preserve">functions, outside the theorem’s scope, though they carry no dominance guarantee of any</w:t>
      </w:r>
      <w:r>
        <w:t xml:space="preserve"> </w:t>
      </w:r>
      <w:r>
        <w:t xml:space="preserve">kind; and diversity-aware selection, from MMR </w:t>
      </w:r>
      <w:r>
        <w:t xml:space="preserve">(</w:t>
      </w:r>
      <w:hyperlink w:anchor="ref-carbonell1998">
        <w:r>
          <w:rPr>
            <w:rStyle w:val="Hyperlink"/>
          </w:rPr>
          <w:t xml:space="preserve">Carbonell and Goldstein 1998</w:t>
        </w:r>
      </w:hyperlink>
      <w:r>
        <w:t xml:space="preserve">)</w:t>
      </w:r>
      <w:r>
        <w:t xml:space="preserve"> </w:t>
      </w:r>
      <w:r>
        <w:t xml:space="preserve">to</w:t>
      </w:r>
      <w:r>
        <w:t xml:space="preserve"> </w:t>
      </w:r>
      <w:r>
        <w:t xml:space="preserve">DPPs </w:t>
      </w:r>
      <w:r>
        <w:t xml:space="preserve">(</w:t>
      </w:r>
      <w:hyperlink w:anchor="ref-ye2023ceil">
        <w:r>
          <w:rPr>
            <w:rStyle w:val="Hyperlink"/>
          </w:rPr>
          <w:t xml:space="preserve">Ye et al. 2023</w:t>
        </w:r>
      </w:hyperlink>
      <w:r>
        <w:t xml:space="preserve">)</w:t>
      </w:r>
      <w:r>
        <w:t xml:space="preserve"> </w:t>
      </w:r>
      <w:r>
        <w:t xml:space="preserve">and submodular coverage </w:t>
      </w:r>
      <w:r>
        <w:t xml:space="preserve">(</w:t>
      </w:r>
      <w:hyperlink w:anchor="ref-huang2025gammacover">
        <w:r>
          <w:rPr>
            <w:rStyle w:val="Hyperlink"/>
          </w:rPr>
          <w:t xml:space="preserve">Huang 2025</w:t>
        </w:r>
      </w:hyperlink>
      <w:r>
        <w:t xml:space="preserve">)</w:t>
      </w:r>
      <w:r>
        <w:t xml:space="preserve">, optimizes set</w:t>
      </w:r>
      <w:r>
        <w:t xml:space="preserve"> </w:t>
      </w:r>
      <w:r>
        <w:t xml:space="preserve">objectives over embedding geometry, whose partial-order-grounded analogue (verified coverage of</w:t>
      </w:r>
      <w:r>
        <w:t xml:space="preserve"> </w:t>
      </w:r>
      <w:r>
        <w:t xml:space="preserve">latent coordinates) we develop in a companion paper.</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w:t>
      </w:r>
      <w:hyperlink w:anchor="ref-robertson1977">
        <w:r>
          <w:rPr>
            <w:rStyle w:val="Hyperlink"/>
          </w:rPr>
          <w:t xml:space="preserve">Robertson 1977</w:t>
        </w:r>
      </w:hyperlink>
      <w:r>
        <w:t xml:space="preserve">)</w:t>
      </w:r>
      <w:r>
        <w:t xml:space="preserve"> </w:t>
      </w:r>
      <w:r>
        <w:t xml:space="preserve">is optimal only under an independence assumption, its failure once</w:t>
      </w:r>
      <w:r>
        <w:t xml:space="preserve"> </w:t>
      </w:r>
      <w:r>
        <w:t xml:space="preserve">documents interact is long documented </w:t>
      </w:r>
      <w:r>
        <w:t xml:space="preserve">(</w:t>
      </w:r>
      <w:hyperlink w:anchor="ref-fuhr2008">
        <w:r>
          <w:rPr>
            <w:rStyle w:val="Hyperlink"/>
          </w:rPr>
          <w:t xml:space="preserve">Fuhr 2008</w:t>
        </w:r>
      </w:hyperlink>
      <w:r>
        <w:t xml:space="preserve">;</w:t>
      </w:r>
      <w:r>
        <w:t xml:space="preserve"> </w:t>
      </w:r>
      <w:hyperlink w:anchor="ref-carbonell1998">
        <w:r>
          <w:rPr>
            <w:rStyle w:val="Hyperlink"/>
          </w:rPr>
          <w:t xml:space="preserve">Carbonell and Goldstein 1998</w:t>
        </w:r>
      </w:hyperlink>
      <w:r>
        <w:t xml:space="preserve">)</w:t>
      </w:r>
      <w:r>
        <w:t xml:space="preserve">, and the LLM-era version,</w:t>
      </w:r>
      <w:r>
        <w:t xml:space="preserve"> </w:t>
      </w:r>
      <w:r>
        <w:t xml:space="preserve">relevance-maximizing retrieval degrading answer quality, is measured</w:t>
      </w:r>
      <w:r>
        <w:t xml:space="preserve"> </w:t>
      </w:r>
      <w:r>
        <w:t xml:space="preserve">directly </w:t>
      </w:r>
      <w:r>
        <w:t xml:space="preserve">(</w:t>
      </w:r>
      <w:hyperlink w:anchor="ref-relevanceutility2025">
        <w:r>
          <w:rPr>
            <w:rStyle w:val="Hyperlink"/>
          </w:rPr>
          <w:t xml:space="preserve">LeVine and Varjavand 2025</w:t>
        </w:r>
      </w:hyperlink>
      <w:r>
        <w:t xml:space="preserve">;</w:t>
      </w:r>
      <w:r>
        <w:t xml:space="preserve"> </w:t>
      </w:r>
      <w:hyperlink w:anchor="ref-sureRAG2026">
        <w:r>
          <w:rPr>
            <w:rStyle w:val="Hyperlink"/>
          </w:rPr>
          <w:t xml:space="preserve">Qiu et al. 2026</w:t>
        </w:r>
      </w:hyperlink>
      <w:r>
        <w:t xml:space="preserve">)</w:t>
      </w:r>
      <w:r>
        <w:t xml:space="preserve">. Our delta is the</w:t>
      </w:r>
      <w:r>
        <w:t xml:space="preserve"> </w:t>
      </w:r>
      <w:r>
        <w:rPr>
          <w:i/>
          <w:iCs/>
        </w:rPr>
        <w:t xml:space="preserve">form</w:t>
      </w:r>
      <w:r>
        <w:t xml:space="preserve"> </w:t>
      </w:r>
      <w:r>
        <w:t xml:space="preserve">of the statement:</w:t>
      </w:r>
      <w:r>
        <w:t xml:space="preserve"> </w:t>
      </w:r>
      <w:r>
        <w:t xml:space="preserve">the failure becomes a theorem in the comparison-of-experiments frame, with the precise structural</w:t>
      </w:r>
      <w:r>
        <w:t xml:space="preserve"> </w:t>
      </w:r>
      <w:r>
        <w:t xml:space="preserve">condition, Blackwell incomparability, under which every query-independent scalar must mis-rank,</w:t>
      </w:r>
      <w:r>
        <w:t xml:space="preserve"> </w:t>
      </w:r>
      <w:r>
        <w:t xml:space="preserve">and a verified live instance on six production models.</w:t>
      </w:r>
    </w:p>
    <w:bookmarkEnd w:id="21"/>
    <w:bookmarkStart w:id="22"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w:t>
      </w:r>
      <w:hyperlink w:anchor="ref-shi2023distracted">
        <w:r>
          <w:rPr>
            <w:rStyle w:val="Hyperlink"/>
          </w:rPr>
          <w:t xml:space="preserve">F. Shi et al. 2023</w:t>
        </w:r>
      </w:hyperlink>
      <w:r>
        <w:t xml:space="preserve">)</w:t>
      </w:r>
      <w:r>
        <w:t xml:space="preserve">; position matters </w:t>
      </w:r>
      <w:r>
        <w:t xml:space="preserve">(</w:t>
      </w:r>
      <w:hyperlink w:anchor="ref-liu2024lost">
        <w:r>
          <w:rPr>
            <w:rStyle w:val="Hyperlink"/>
          </w:rPr>
          <w:t xml:space="preserve">Liu et al. 2024</w:t>
        </w:r>
      </w:hyperlink>
      <w:r>
        <w:t xml:space="preserve">)</w:t>
      </w:r>
      <w:r>
        <w:t xml:space="preserve">;</w:t>
      </w:r>
      <w:r>
        <w:t xml:space="preserve"> </w:t>
      </w:r>
      <w:r>
        <w:t xml:space="preserve">high-scoring distractors hurt while random noise can help </w:t>
      </w:r>
      <w:r>
        <w:t xml:space="preserve">(</w:t>
      </w:r>
      <w:hyperlink w:anchor="ref-cuconasu2024noise">
        <w:r>
          <w:rPr>
            <w:rStyle w:val="Hyperlink"/>
          </w:rPr>
          <w:t xml:space="preserve">Cuconasu et al. 2024</w:t>
        </w:r>
      </w:hyperlink>
      <w:r>
        <w:t xml:space="preserve">)</w:t>
      </w:r>
      <w:r>
        <w:t xml:space="preserve">; retrieval</w:t>
      </w:r>
      <w:r>
        <w:t xml:space="preserve"> </w:t>
      </w:r>
      <w:r>
        <w:t xml:space="preserve">curves are inverted-U in passage count </w:t>
      </w:r>
      <w:r>
        <w:t xml:space="preserve">(</w:t>
      </w:r>
      <w:hyperlink w:anchor="ref-jin2024longrag">
        <w:r>
          <w:rPr>
            <w:rStyle w:val="Hyperlink"/>
          </w:rPr>
          <w:t xml:space="preserve">Jin et al. 2024</w:t>
        </w:r>
      </w:hyperlink>
      <w:r>
        <w:t xml:space="preserve">)</w:t>
      </w:r>
      <w:r>
        <w:t xml:space="preserve">; document count hurts at fixed</w:t>
      </w:r>
      <w:r>
        <w:t xml:space="preserve"> </w:t>
      </w:r>
      <w:r>
        <w:t xml:space="preserve">length </w:t>
      </w:r>
      <w:r>
        <w:t xml:space="preserve">(</w:t>
      </w:r>
      <w:hyperlink w:anchor="ref-levy2025moredocs">
        <w:r>
          <w:rPr>
            <w:rStyle w:val="Hyperlink"/>
          </w:rPr>
          <w:t xml:space="preserve">Levy et al. 2025</w:t>
        </w:r>
      </w:hyperlink>
      <w:r>
        <w:t xml:space="preserve">)</w:t>
      </w:r>
      <w:r>
        <w:t xml:space="preserve">; added length alone hurts </w:t>
      </w:r>
      <w:r>
        <w:t xml:space="preserve">(</w:t>
      </w:r>
      <w:hyperlink w:anchor="ref-contexthurts2025">
        <w:r>
          <w:rPr>
            <w:rStyle w:val="Hyperlink"/>
          </w:rPr>
          <w:t xml:space="preserve">Du et al. 2025</w:t>
        </w:r>
      </w:hyperlink>
      <w:r>
        <w:t xml:space="preserve">)</w:t>
      </w:r>
      <w:r>
        <w:t xml:space="preserve">; and the effect</w:t>
      </w:r>
      <w:r>
        <w:t xml:space="preserve"> </w:t>
      </w:r>
      <w:r>
        <w:t xml:space="preserve">persists across model generations </w:t>
      </w:r>
      <w:r>
        <w:t xml:space="preserve">(</w:t>
      </w:r>
      <w:hyperlink w:anchor="ref-hong2025contextrot">
        <w:r>
          <w:rPr>
            <w:rStyle w:val="Hyperlink"/>
          </w:rPr>
          <w:t xml:space="preserve">Hong et al. 2025</w:t>
        </w:r>
      </w:hyperlink>
      <w:r>
        <w:t xml:space="preserve">)</w:t>
      </w:r>
      <w:r>
        <w:t xml:space="preserve"> </w:t>
      </w:r>
      <w:r>
        <w:t xml:space="preserve">and agent-scaffold</w:t>
      </w:r>
      <w:r>
        <w:t xml:space="preserve"> </w:t>
      </w:r>
      <w:r>
        <w:t xml:space="preserve">components </w:t>
      </w:r>
      <w:r>
        <w:t xml:space="preserve">(</w:t>
      </w:r>
      <w:hyperlink w:anchor="ref-longcontextdegrade2026">
        <w:r>
          <w:rPr>
            <w:rStyle w:val="Hyperlink"/>
          </w:rPr>
          <w:t xml:space="preserve">Liu 2026</w:t>
        </w:r>
      </w:hyperlink>
      <w:r>
        <w:t xml:space="preserve">)</w:t>
      </w:r>
      <w:r>
        <w:t xml:space="preserve">. We do not claim to discover this genus. Our</w:t>
      </w:r>
      <w:r>
        <w:t xml:space="preserve"> </w:t>
      </w:r>
      <w:r>
        <w:t xml:space="preserve">anti-monotonicity finding contributes its order-theoretic form: a strict</w:t>
      </w:r>
      <w:r>
        <w:t xml:space="preserve"> </w:t>
      </w:r>
      <w:r>
        <w:rPr>
          <w:i/>
          <w:iCs/>
        </w:rPr>
        <w:t xml:space="preserve">superset</w:t>
      </w:r>
      <w:r>
        <w:t xml:space="preserve"> </w:t>
      </w:r>
      <w:r>
        <w:t xml:space="preserve">of a</w:t>
      </w:r>
      <w:r>
        <w:t xml:space="preserve"> </w:t>
      </w:r>
      <w:r>
        <w:t xml:space="preserve">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interference verification with position, length, and routing controls; the</w:t>
      </w:r>
      <w:r>
        <w:t xml:space="preserve"> </w:t>
      </w:r>
      <w:r>
        <w:t xml:space="preserve">algebraic object</w:t>
      </w:r>
      <w:r>
        <w:t xml:space="preserve"> </w:t>
      </w:r>
      <m:oMath>
        <m:sSub>
          <m:e>
            <m:r>
              <m:rPr>
                <m:sty m:val="p"/>
              </m:rPr>
              <m:t>Ψ</m:t>
            </m:r>
          </m:e>
          <m:sub>
            <m:r>
              <m:t>T</m:t>
            </m:r>
          </m:sub>
        </m:sSub>
        <m:r>
          <m:rPr>
            <m:sty m:val="p"/>
          </m:rPr>
          <m:t>&lt;</m:t>
        </m:r>
        <m:r>
          <m:t>0</m:t>
        </m:r>
      </m:oMath>
      <w:r>
        <w:t xml:space="preserve"> </w:t>
      </w:r>
      <w:r>
        <w:t xml:space="preserve">is one no monotone-submodular context-value scalar can carry.</w:t>
      </w:r>
      <w:r>
        <w:t xml:space="preserve"> </w:t>
      </w:r>
      <w:r>
        <w:t xml:space="preserve">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w:t>
      </w:r>
      <w:hyperlink w:anchor="ref-paretoprompts2025">
        <w:r>
          <w:rPr>
            <w:rStyle w:val="Hyperlink"/>
          </w:rPr>
          <w:t xml:space="preserve">Zhao et al. 2025</w:t>
        </w:r>
      </w:hyperlink>
      <w:r>
        <w:t xml:space="preserve">)</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2"/>
    <w:bookmarkStart w:id="25" w:name="sec:related-deficiency"/>
    <w:p>
      <w:pPr>
        <w:pStyle w:val="Heading2"/>
      </w:pPr>
      <w:r>
        <w:t xml:space="preserve">The comparison of experiments in machine learning</w:t>
      </w:r>
    </w:p>
    <w:p>
      <w:pPr>
        <w:pStyle w:val="FirstParagraph"/>
      </w:pPr>
      <w:bookmarkStart w:id="23" w:name="sec:related-llmrep"/>
      <w:bookmarkEnd w:id="23"/>
      <w:bookmarkStart w:id="24" w:name="sec:related-foundations"/>
      <w:bookmarkEnd w:id="24"/>
    </w:p>
    <w:p>
      <w:pPr>
        <w:pStyle w:val="BodyText"/>
      </w:pPr>
      <w:r>
        <w:t xml:space="preserve">The Blackwell–Le Cam apparatus has entered machine learning, but never for inference-time</w:t>
      </w:r>
      <w:r>
        <w:t xml:space="preserve"> </w:t>
      </w:r>
      <w:r>
        <w:t xml:space="preserve">context. The closest work is training-</w:t>
      </w:r>
      <w:r>
        <w:rPr>
          <w:i/>
          <w:iCs/>
        </w:rPr>
        <w:t xml:space="preserve">dataset</w:t>
      </w:r>
      <w:r>
        <w:t xml:space="preserve"> </w:t>
      </w:r>
      <w:r>
        <w:t xml:space="preserve">valuation:</w:t>
      </w:r>
      <w:r>
        <w:t xml:space="preserve"> </w:t>
      </w:r>
      <w:r>
        <w:t xml:space="preserve">Zheng et al. (</w:t>
      </w:r>
      <w:hyperlink w:anchor="ref-zheng2024pmi">
        <w:r>
          <w:rPr>
            <w:rStyle w:val="Hyperlink"/>
          </w:rPr>
          <w:t xml:space="preserve">2024</w:t>
        </w:r>
      </w:hyperlink>
      <w:r>
        <w:t xml:space="preserve">)</w:t>
      </w:r>
      <w:r>
        <w:t xml:space="preserve"> </w:t>
      </w:r>
      <w:r>
        <w:t xml:space="preserve">rank datasets</w:t>
      </w:r>
      <w:r>
        <w:t xml:space="preserve"> </w:t>
      </w:r>
      <w:r>
        <w:t xml:space="preserve">by Blackwell informativeness and show a pointwise-mutual-information</w:t>
      </w:r>
      <w:r>
        <w:t xml:space="preserve"> </w:t>
      </w:r>
      <w:r>
        <w:rPr>
          <w:i/>
          <w:iCs/>
        </w:rPr>
        <w:t xml:space="preserve">scalar</w:t>
      </w:r>
      <w:r>
        <w:t xml:space="preserve"> </w:t>
      </w:r>
      <w:r>
        <w:t xml:space="preserve">suffices in their</w:t>
      </w:r>
      <w:r>
        <w:t xml:space="preserve"> </w:t>
      </w:r>
      <w:r>
        <w:t xml:space="preserve">Bayes-optimal, white-box regime, the opposite of our finding that no query-independent scalar can</w:t>
      </w:r>
      <w:r>
        <w:t xml:space="preserve"> </w:t>
      </w:r>
      <w:r>
        <w:t xml:space="preserve">be faithful once the order is partial (Theorem 2). Nearby uses stop short of</w:t>
      </w:r>
      <w:r>
        <w:t xml:space="preserve"> </w:t>
      </w:r>
      <w:r>
        <w:t xml:space="preserve">what we do: garbling to harden LLM evaluations </w:t>
      </w:r>
      <w:r>
        <w:t xml:space="preserve">(</w:t>
      </w:r>
      <w:hyperlink w:anchor="ref-bradley2024garbling">
        <w:r>
          <w:rPr>
            <w:rStyle w:val="Hyperlink"/>
          </w:rPr>
          <w:t xml:space="preserve">Bradley 2024</w:t>
        </w:r>
      </w:hyperlink>
      <w:r>
        <w:t xml:space="preserve">)</w:t>
      </w:r>
      <w:r>
        <w:t xml:space="preserve">, statistical deficiency</w:t>
      </w:r>
      <w:r>
        <w:t xml:space="preserve"> </w:t>
      </w:r>
      <w:r>
        <w:t xml:space="preserve">to order training</w:t>
      </w:r>
      <w:r>
        <w:t xml:space="preserve"> </w:t>
      </w:r>
      <w:r>
        <w:rPr>
          <w:i/>
          <w:iCs/>
        </w:rPr>
        <w:t xml:space="preserve">tasks</w:t>
      </w:r>
      <w:r>
        <w:t xml:space="preserve"> </w:t>
      </w:r>
      <w:r>
        <w:t xml:space="preserve">(</w:t>
      </w:r>
      <w:hyperlink w:anchor="ref-fosse2025">
        <w:r>
          <w:rPr>
            <w:rStyle w:val="Hyperlink"/>
          </w:rPr>
          <w:t xml:space="preserve">Fosse et al. 2025</w:t>
        </w:r>
      </w:hyperlink>
      <w:r>
        <w:t xml:space="preserve">)</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w:t>
      </w:r>
      <w:hyperlink w:anchor="ref-akdemir2025">
        <w:r>
          <w:rPr>
            <w:rStyle w:val="Hyperlink"/>
          </w:rPr>
          <w:t xml:space="preserve">Akdemir 2025</w:t>
        </w:r>
      </w:hyperlink>
      <w:r>
        <w:t xml:space="preserve">)</w:t>
      </w:r>
      <w:r>
        <w:t xml:space="preserve">, comparison-of-experiments ideas in loss</w:t>
      </w:r>
      <w:r>
        <w:t xml:space="preserve"> </w:t>
      </w:r>
      <w:r>
        <w:t xml:space="preserve">design </w:t>
      </w:r>
      <w:r>
        <w:t xml:space="preserve">(</w:t>
      </w:r>
      <w:hyperlink w:anchor="ref-vanrooyen2014">
        <w:r>
          <w:rPr>
            <w:rStyle w:val="Hyperlink"/>
          </w:rPr>
          <w:t xml:space="preserve">Rooyen and Williamson 2014</w:t>
        </w:r>
      </w:hyperlink>
      <w:r>
        <w:t xml:space="preserve">)</w:t>
      </w:r>
      <w:r>
        <w:t xml:space="preserve">, and a survey of Blackwell’s theorems for AI </w:t>
      </w:r>
      <w:r>
        <w:t xml:space="preserve">(</w:t>
      </w:r>
      <w:hyperlink w:anchor="ref-blackwellrep2026">
        <w:r>
          <w:rPr>
            <w:rStyle w:val="Hyperlink"/>
          </w:rPr>
          <w:t xml:space="preserve">Paxton 2026</w:t>
        </w:r>
      </w:hyperlink>
      <w:r>
        <w:t xml:space="preserve">)</w:t>
      </w:r>
      <w:r>
        <w:t xml:space="preserve">.</w:t>
      </w:r>
      <w:r>
        <w:t xml:space="preserve"> </w:t>
      </w:r>
      <w:r>
        <w:t xml:space="preserve">To our knowledge none states a Blackwell partial order over context sources, derives the</w:t>
      </w:r>
      <w:r>
        <w:t xml:space="preserve"> </w:t>
      </w:r>
      <w:r>
        <w:t xml:space="preserve">no-scalar-ranks consequence for language models, or supplies a verified decision-restricted</w:t>
      </w:r>
      <w:r>
        <w:t xml:space="preserve"> </w:t>
      </w:r>
      <w:r>
        <w:t xml:space="preserve">estimator, the three new pieces here.</w:t>
      </w:r>
    </w:p>
    <w:bookmarkEnd w:id="25"/>
    <w:bookmarkStart w:id="27"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and it is why we frame the problem as we</w:t>
      </w:r>
      <w:r>
        <w:t xml:space="preserve"> </w:t>
      </w:r>
      <w:r>
        <w:t xml:space="preserve">do. Every method cheap enough to run at retrieval scale emits a final scalar and therefore lives in</w:t>
      </w:r>
      <w:r>
        <w:t xml:space="preserve"> </w:t>
      </w:r>
      <w:r>
        <w:t xml:space="preserve">a total order, including multi-vector late interaction </w:t>
      </w:r>
      <w:r>
        <w:t xml:space="preserve">(</w:t>
      </w:r>
      <w:hyperlink w:anchor="ref-khattab2020colbert">
        <w:r>
          <w:rPr>
            <w:rStyle w:val="Hyperlink"/>
          </w:rPr>
          <w:t xml:space="preserve">Khattab and Zaharia 2020</w:t>
        </w:r>
      </w:hyperlink>
      <w:r>
        <w:t xml:space="preserve">)</w:t>
      </w:r>
      <w:r>
        <w:t xml:space="preserve">, whose per-token</w:t>
      </w:r>
      <w:r>
        <w:t xml:space="preserve"> </w:t>
      </w:r>
      <w:r>
        <w:t xml:space="preserve">match is query-dependent but still collapses to one document score, and retrievers trained on the</w:t>
      </w:r>
      <w:r>
        <w:t xml:space="preserve"> </w:t>
      </w:r>
      <w:r>
        <w:t xml:space="preserve">language model’s own likelihood </w:t>
      </w:r>
      <w:r>
        <w:t xml:space="preserve">(</w:t>
      </w:r>
      <w:hyperlink w:anchor="ref-shi2023replug">
        <w:r>
          <w:rPr>
            <w:rStyle w:val="Hyperlink"/>
          </w:rPr>
          <w:t xml:space="preserve">W. Shi et al. 2023</w:t>
        </w:r>
      </w:hyperlink>
      <w:r>
        <w:t xml:space="preserve">;</w:t>
      </w:r>
      <w:r>
        <w:t xml:space="preserve"> </w:t>
      </w:r>
      <w:hyperlink w:anchor="ref-guu2020realm">
        <w:r>
          <w:rPr>
            <w:rStyle w:val="Hyperlink"/>
          </w:rPr>
          <w:t xml:space="preserve">Guu et al. 2020</w:t>
        </w:r>
      </w:hyperlink>
      <w:r>
        <w:t xml:space="preserve">)</w:t>
      </w:r>
      <w:r>
        <w:t xml:space="preserve">, which amortize</w:t>
      </w:r>
      <w:r>
        <w:t xml:space="preserve"> </w:t>
      </w:r>
      <w:r>
        <w:t xml:space="preserve">“value to the</w:t>
      </w:r>
      <w:r>
        <w:t xml:space="preserve"> </w:t>
      </w:r>
      <w:r>
        <w:t xml:space="preserve">model”</w:t>
      </w:r>
      <w:r>
        <w:t xml:space="preserve"> </w:t>
      </w:r>
      <w:r>
        <w:t xml:space="preserve">into a</w:t>
      </w:r>
      <w:r>
        <w:t xml:space="preserve"> </w:t>
      </w:r>
      <w:r>
        <w:rPr>
          <w:i/>
          <w:iCs/>
        </w:rPr>
        <w:t xml:space="preserve">number</w:t>
      </w:r>
      <w:r>
        <w:t xml:space="preserve"> </w:t>
      </w:r>
      <w:r>
        <w:t xml:space="preserve">rather than the non-domination relation and so inherit the limitation</w:t>
      </w:r>
      <w:r>
        <w:t xml:space="preserve"> </w:t>
      </w:r>
      <w:r>
        <w:t xml:space="preserve">of Theorem 2. Every method that genuinely models interaction is in turn either</w:t>
      </w:r>
      <w:r>
        <w:t xml:space="preserve"> </w:t>
      </w:r>
      <w:r>
        <w:t xml:space="preserve">symmetric redundancy over embedding geometry (MMR, DPPs, submodular coverage), carries no dominance</w:t>
      </w:r>
      <w:r>
        <w:t xml:space="preserve"> </w:t>
      </w:r>
      <w:r>
        <w:t xml:space="preserve">guarantee (listwise rerankers), or is as costly as direct probing (Shapley valuation, expected</w:t>
      </w:r>
      <w:r>
        <w:t xml:space="preserve"> </w:t>
      </w:r>
      <w:r>
        <w:t xml:space="preserve">information gain). No prior row is both cheap and partial-order-faithful; that empty cell is the open</w:t>
      </w:r>
      <w:r>
        <w:t xml:space="preserve"> </w:t>
      </w:r>
      <w:r>
        <w:t xml:space="preserve">problem this paper isolates. We occupy the last row, paying probe cost for the guarantee, and leave</w:t>
      </w:r>
      <w:r>
        <w:t xml:space="preserve"> </w:t>
      </w:r>
      <w:r>
        <w:t xml:space="preserve">its amortization as the central open question.</w:t>
      </w:r>
    </w:p>
    <w:bookmarkStart w:id="26"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 Only the last row represents incomparability,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Only the last row represents incomparability,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w:t>
            </w:r>
            <w:hyperlink w:anchor="ref-robertson1977">
              <w:r>
                <w:rPr>
                  <w:rStyle w:val="Hyperlink"/>
                </w:rPr>
                <w:t xml:space="preserve">Robertson 1977</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w:t>
            </w:r>
            <w:hyperlink w:anchor="ref-khattab2020colbert">
              <w:r>
                <w:rPr>
                  <w:rStyle w:val="Hyperlink"/>
                </w:rPr>
                <w:t xml:space="preserve">Khattab and Zaharia 2020</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t>
            </w:r>
            <w:hyperlink w:anchor="ref-shi2023replug">
              <w:r>
                <w:rPr>
                  <w:rStyle w:val="Hyperlink"/>
                </w:rPr>
                <w:t xml:space="preserve">W. Shi et al. 2023</w:t>
              </w:r>
            </w:hyperlink>
            <w:r>
              <w:t xml:space="preserve">;</w:t>
            </w:r>
            <w:r>
              <w:t xml:space="preserve"> </w:t>
            </w:r>
            <w:hyperlink w:anchor="ref-guu2020realm">
              <w:r>
                <w:rPr>
                  <w:rStyle w:val="Hyperlink"/>
                </w:rPr>
                <w:t xml:space="preserve">Guu et al. 2020</w:t>
              </w:r>
            </w:hyperlink>
            <w:r>
              <w:t xml:space="preserve">)</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w:t>
            </w:r>
            <w:hyperlink w:anchor="ref-carbonell1998">
              <w:r>
                <w:rPr>
                  <w:rStyle w:val="Hyperlink"/>
                </w:rPr>
                <w:t xml:space="preserve">Carbonell and Goldstein 1998</w:t>
              </w:r>
            </w:hyperlink>
            <w:r>
              <w:t xml:space="preserve">)</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w:t>
            </w:r>
            <w:hyperlink w:anchor="ref-ye2023ceil">
              <w:r>
                <w:rPr>
                  <w:rStyle w:val="Hyperlink"/>
                </w:rPr>
                <w:t xml:space="preserve">Ye et al. 2023</w:t>
              </w:r>
            </w:hyperlink>
            <w:r>
              <w:t xml:space="preserve">;</w:t>
            </w:r>
            <w:r>
              <w:t xml:space="preserve"> </w:t>
            </w:r>
            <w:hyperlink w:anchor="ref-huang2025gammacover">
              <w:r>
                <w:rPr>
                  <w:rStyle w:val="Hyperlink"/>
                </w:rPr>
                <w:t xml:space="preserve">Huang 2025</w:t>
              </w:r>
            </w:hyperlink>
            <w:r>
              <w:t xml:space="preserve">)</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w:t>
            </w:r>
            <w:hyperlink w:anchor="ref-demoshapley2024">
              <w:r>
                <w:rPr>
                  <w:rStyle w:val="Hyperlink"/>
                </w:rPr>
                <w:t xml:space="preserve">Xie et al. 2024</w:t>
              </w:r>
            </w:hyperlink>
            <w:r>
              <w:t xml:space="preserve">)</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w:t>
            </w:r>
            <w:hyperlink w:anchor="ref-bedllm2026">
              <w:r>
                <w:rPr>
                  <w:rStyle w:val="Hyperlink"/>
                </w:rPr>
                <w:t xml:space="preserve">Choudhury et al. 2025</w:t>
              </w:r>
            </w:hyperlink>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w:t>
            </w:r>
            <w:hyperlink w:anchor="ref-sun2023rankgpt">
              <w:r>
                <w:rPr>
                  <w:rStyle w:val="Hyperlink"/>
                </w:rPr>
                <w:t xml:space="preserve">Sun et al. 2023</w:t>
              </w:r>
            </w:hyperlink>
            <w:r>
              <w:t xml:space="preserve">)</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rPr>
                <w:b/>
                <w:bCs/>
              </w:rPr>
              <w:t xml:space="preserve">Probe-Select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6"/>
    <w:bookmarkEnd w:id="27"/>
    <w:bookmarkEnd w:id="28"/>
    <w:bookmarkStart w:id="35"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31"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9"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9"/>
    <w:bookmarkStart w:id="30"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3"/>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3"/>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30"/>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31"/>
    <w:bookmarkStart w:id="33"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2"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2"/>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w:t>
      </w:r>
      <w:hyperlink w:anchor="ref-torgersen1991">
        <w:r>
          <w:rPr>
            <w:rStyle w:val="Hyperlink"/>
          </w:rPr>
          <w:t xml:space="preserve">Torgersen 1991</w:t>
        </w:r>
      </w:hyperlink>
      <w:r>
        <w:t xml:space="preserve">)</w:t>
      </w:r>
      <w:r>
        <w:t xml:space="preserve">.</w:t>
      </w:r>
    </w:p>
    <w:bookmarkEnd w:id="33"/>
    <w:bookmarkStart w:id="34"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4"/>
    <w:bookmarkEnd w:id="35"/>
    <w:bookmarkStart w:id="47"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40" w:name="the-order-and-its-two-registers"/>
    <w:p>
      <w:pPr>
        <w:pStyle w:val="Heading2"/>
      </w:pPr>
      <w:r>
        <w:t xml:space="preserve">The order and its two registers</w:t>
      </w:r>
    </w:p>
    <w:bookmarkStart w:id="36"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6"/>
    <w:p>
      <w:pPr>
        <w:pStyle w:val="BodyText"/>
      </w:pPr>
      <w:r>
        <w:t xml:space="preserve">The classical content of the order is the Blackwell–Sherman–Stein theorem, which we state with</w:t>
      </w:r>
      <w:r>
        <w:t xml:space="preserve"> </w:t>
      </w:r>
      <w:r>
        <w:t xml:space="preserve">hypotheses for a self-contained treatment.</w:t>
      </w:r>
    </w:p>
    <w:bookmarkStart w:id="37"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4"/>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4"/>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7"/>
    <w:p>
      <w:pPr>
        <w:pStyle w:val="BodyText"/>
      </w:pPr>
      <w:r>
        <w:t xml:space="preserve">This is the classical Blackwell–Sherman–Stein theorem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8"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8"/>
    <w:bookmarkStart w:id="39"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w:t>
      </w:r>
      <w:hyperlink w:anchor="ref-torgersen1991">
        <w:r>
          <w:rPr>
            <w:rStyle w:val="Hyperlink"/>
          </w:rPr>
          <w:t xml:space="preserve">Torgersen 1991</w:t>
        </w:r>
      </w:hyperlink>
      <w:r>
        <w:t xml:space="preserve">)</w:t>
      </w:r>
      <w:r>
        <w:t xml:space="preserve">.</w:t>
      </w:r>
      <w:r>
        <w:t xml:space="preserve"> </w:t>
      </w:r>
      <w:r>
        <w:t xml:space="preserve">Incomparability is exactly the regime our experiments target.</w:t>
      </w:r>
    </w:p>
    <w:bookmarkEnd w:id="39"/>
    <w:bookmarkEnd w:id="40"/>
    <w:bookmarkStart w:id="42"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41"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5"/>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5"/>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41"/>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2"/>
    <w:bookmarkStart w:id="46"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3"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3"/>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4"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6"/>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6"/>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4"/>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5"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5"/>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6"/>
    <w:bookmarkEnd w:id="47"/>
    <w:bookmarkStart w:id="55"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2" w:name="query-independent-scores-the-theorem"/>
    <w:p>
      <w:pPr>
        <w:pStyle w:val="Heading2"/>
      </w:pPr>
      <w:r>
        <w:t xml:space="preserve">Query-independent scores: the theorem</w:t>
      </w:r>
    </w:p>
    <w:bookmarkStart w:id="48"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8"/>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9"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 The theorem is</w:t>
      </w:r>
      <w:r>
        <w:t xml:space="preserve"> </w:t>
      </w:r>
      <w:r>
        <w:t xml:space="preserve">mathematically a one-line consequence of Blackwell’s theorem; the contribution is the</w:t>
      </w:r>
      <w:r>
        <w:t xml:space="preserve"> </w:t>
      </w:r>
      <w:r>
        <w:rPr>
          <w:i/>
          <w:iCs/>
        </w:rPr>
        <w:t xml:space="preserve">application and framing</w:t>
      </w:r>
      <w:r>
        <w:t xml:space="preserve">, reading cross-task non-transfer of relevance as the signature of a</w:t>
      </w:r>
      <w:r>
        <w:t xml:space="preserve"> </w:t>
      </w:r>
      <w:r>
        <w:t xml:space="preserve">partial order, not new core mathematics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p>
    <w:bookmarkEnd w:id="49"/>
    <w:bookmarkStart w:id="50"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w:t>
      </w:r>
      <w:hyperlink w:anchor="ref-ethayarajh2022">
        <w:r>
          <w:rPr>
            <w:rStyle w:val="Hyperlink"/>
            <w:i/>
            <w:iCs/>
          </w:rPr>
          <w:t xml:space="preserve">2022</w:t>
        </w:r>
      </w:hyperlink>
      <w:r>
        <w:rPr>
          <w:i/>
          <w:iCs/>
        </w:rPr>
        <w:t xml:space="preserve">)</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50"/>
    <w:bookmarkStart w:id="51" w:name="rem:vinfo-scope"/>
    <w:p>
      <w:pPr>
        <w:pStyle w:val="BodyText"/>
      </w:pPr>
      <w:r>
        <w:rPr>
          <w:i/>
          <w:iCs/>
        </w:rPr>
        <w:t xml:space="preserve">Remark 3</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51"/>
    <w:bookmarkEnd w:id="52"/>
    <w:bookmarkStart w:id="54"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3"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surface lexical overlap and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If there is a task</w:t>
      </w:r>
      <w:r>
        <w:rPr>
          <w:i/>
          <w:iCs/>
        </w:rPr>
        <w:t xml:space="preserve"> </w:t>
      </w:r>
      <m:oMath>
        <m:sSub>
          <m:e>
            <m:r>
              <m:t>T</m:t>
            </m:r>
          </m:e>
          <m:sub>
            <m:r>
              <m:t>c</m:t>
            </m:r>
          </m:sub>
        </m:sSub>
      </m:oMath>
      <w:r>
        <w:rPr>
          <w:i/>
          <w:iCs/>
        </w:rPr>
        <w:t xml:space="preserve"> </w:t>
      </w:r>
      <w:r>
        <w:rPr>
          <w:i/>
          <w:iCs/>
        </w:rPr>
        <w:t xml:space="preserve">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w:t>
      </w:r>
      <w:r>
        <w:rPr>
          <w:i/>
          <w:iCs/>
        </w:rPr>
        <w:t xml:space="preserve">but whose surface lexicon is saturated with</w:t>
      </w:r>
      <w:r>
        <w:rPr>
          <w:i/>
          <w:iCs/>
        </w:rPr>
        <w:t xml:space="preserve"> </w:t>
      </w:r>
      <m:oMath>
        <m:sSub>
          <m:e>
            <m:r>
              <m:t>W</m:t>
            </m:r>
          </m:e>
          <m:sub>
            <m:r>
              <m:t>2</m:t>
            </m:r>
          </m:sub>
        </m:sSub>
      </m:oMath>
      <w:r>
        <w:rPr>
          <w:i/>
          <w:iCs/>
        </w:rPr>
        <w:t xml:space="preserve">’s vocabulary,</w:t>
      </w:r>
      <w:r>
        <w:rPr>
          <w:i/>
          <w:iCs/>
        </w:rPr>
        <w:t xml:space="preserve"> </w:t>
      </w:r>
      <w:r>
        <w:rPr>
          <w:i/>
          <w:iCs/>
        </w:rPr>
        <w:t xml:space="preserve">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w:t>
      </w:r>
      <w:r>
        <w:rPr>
          <w:i/>
          <w:iCs/>
        </w:rPr>
        <w:t xml:space="preserve">while the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Hence no topical query-conditioned 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3"/>
    <w:p>
      <w:pPr>
        <w:pStyle w:val="BodyText"/>
      </w:pPr>
      <w:r>
        <w:rPr>
          <w:i/>
          <w:iCs/>
        </w:rPr>
        <w:t xml:space="preserve">Proof.</w:t>
      </w:r>
      <w:r>
        <w:t xml:space="preserve"> </w:t>
      </w:r>
      <w:r>
        <w:t xml:space="preserve">By topical invariance,</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ignores the verifier-decisive coordinate and orders by</w:t>
      </w:r>
      <w:r>
        <w:t xml:space="preserve"> </w:t>
      </w:r>
      <w:r>
        <w:t xml:space="preserve">lexical overlap, which favours</w:t>
      </w:r>
      <w:r>
        <w:t xml:space="preserve"> </w:t>
      </w:r>
      <m:oMath>
        <m:sSub>
          <m:e>
            <m:r>
              <m:t>W</m:t>
            </m:r>
          </m:e>
          <m:sub>
            <m:r>
              <m:t>2</m:t>
            </m:r>
          </m:sub>
        </m:sSub>
      </m:oMath>
      <w:r>
        <w:t xml:space="preserve"> </w:t>
      </w:r>
      <w:r>
        <w:t xml:space="preserve">on</w:t>
      </w:r>
      <w:r>
        <w:t xml:space="preserve"> </w:t>
      </w:r>
      <m:oMath>
        <m:sSub>
          <m:e>
            <m:r>
              <m:t>T</m:t>
            </m:r>
          </m:e>
          <m:sub>
            <m:r>
              <m:t>c</m:t>
            </m:r>
          </m:sub>
        </m:sSub>
      </m:oMath>
      <w:r>
        <w:t xml:space="preserve"> </w:t>
      </w:r>
      <w:r>
        <w:t xml:space="preserve">by construction;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w:t>
      </w:r>
      <w:r>
        <w:t xml:space="preserve"> </w:t>
      </w:r>
      <w:r>
        <w:t xml:space="preserve">PASS requires</w:t>
      </w:r>
      <w:r>
        <w:t xml:space="preserve"> </w:t>
      </w:r>
      <m:oMath>
        <m:sSub>
          <m:e>
            <m:r>
              <m:t>W</m:t>
            </m:r>
          </m:e>
          <m:sub>
            <m:r>
              <m:t>1</m:t>
            </m:r>
          </m:sub>
        </m:sSub>
      </m:oMath>
      <w:r>
        <w:t xml:space="preserve">’s coordinate. The two orders disagree on</w:t>
      </w:r>
      <w:r>
        <w:t xml:space="preserve"> </w:t>
      </w:r>
      <m:oMath>
        <m:sSub>
          <m:e>
            <m:r>
              <m:t>T</m:t>
            </m:r>
          </m:e>
          <m:sub>
            <m:r>
              <m:t>c</m:t>
            </m:r>
          </m:sub>
        </m:sSub>
      </m:oMath>
      <w:r>
        <w:t xml:space="preserve">.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5), so the topical class is not a lexical strawman: its failure mode is shared by the ranker</w:t>
      </w:r>
      <w:r>
        <w:t xml:space="preserve"> </w:t>
      </w:r>
      <w:r>
        <w:t xml:space="preserve">families retrieval systems actually deploy.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4"/>
    <w:bookmarkEnd w:id="55"/>
    <w:bookmarkStart w:id="67"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7"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6" w:name="rem:notlecam"/>
    <w:p>
      <w:pPr>
        <w:pStyle w:val="BodyText"/>
      </w:pPr>
      <w:r>
        <w:rPr>
          <w:i/>
          <w:iCs/>
        </w:rPr>
        <w:t xml:space="preserve">Remark 4</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t>
      </w:r>
      <w:hyperlink w:anchor="ref-torgersen1991">
        <w:r>
          <w:rPr>
            <w:rStyle w:val="Hyperlink"/>
          </w:rPr>
          <w:t xml:space="preserve">Torgersen 1991</w:t>
        </w:r>
      </w:hyperlink>
      <w:r>
        <w:t xml:space="preserve">)</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6"/>
    <w:bookmarkEnd w:id="57"/>
    <w:bookmarkStart w:id="60"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8"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w:t>
      </w:r>
      <w:hyperlink w:anchor="ref-clopperpearson1934">
        <w:r>
          <w:rPr>
            <w:rStyle w:val="Hyperlink"/>
            <w:i/>
            <w:iCs/>
          </w:rPr>
          <w:t xml:space="preserve">Clopper and Pearson 1934</w:t>
        </w:r>
      </w:hyperlink>
      <w:r>
        <w:rPr>
          <w:i/>
          <w:iCs/>
        </w:rPr>
        <w:t xml:space="preserve">)</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w:t>
      </w:r>
      <w:hyperlink w:anchor="ref-bonferroni1936">
        <w:r>
          <w:rPr>
            <w:rStyle w:val="Hyperlink"/>
            <w:i/>
            <w:iCs/>
          </w:rPr>
          <w:t xml:space="preserve">Bonferroni 1936</w:t>
        </w:r>
      </w:hyperlink>
      <w:r>
        <w:rPr>
          <w:i/>
          <w:iCs/>
        </w:rPr>
        <w:t xml:space="preserve">)</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8"/>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9"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9"/>
    <w:bookmarkEnd w:id="60"/>
    <w:bookmarkStart w:id="63"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Ψ</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w:t>
      </w:r>
      <w:r>
        <w:t xml:space="preserve"> </w:t>
      </w:r>
      <w:r>
        <w:t xml:space="preserve">strictly-more-informative context hurts.”</w:t>
      </w:r>
    </w:p>
    <w:bookmarkStart w:id="61"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With per-cell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4</m:t>
        </m:r>
      </m:oMath>
      <w:r>
        <w:rPr>
          <w:i/>
          <w:iCs/>
        </w:rPr>
        <w:t xml:space="preserve"> </w:t>
      </w:r>
      <w:r>
        <w:rPr>
          <w:i/>
          <w:iCs/>
        </w:rPr>
        <w:t xml:space="preserve">on the four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sSub>
          <m:e>
            <m:r>
              <m:t>W</m:t>
            </m:r>
          </m:e>
          <m:sub>
            <m:r>
              <m:t>2</m:t>
            </m:r>
          </m:sub>
        </m:sSub>
        <m:r>
          <m:rPr>
            <m:sty m:val="p"/>
          </m:rPr>
          <m:t>,</m:t>
        </m:r>
        <m:r>
          <m:rPr>
            <m:nor/>
            <m:scr m:val="monospace"/>
            <m:sty m:val="p"/>
          </m:rPr>
          <m:t>none</m:t>
        </m:r>
        <m:r>
          <m:rPr>
            <m:sty m:val="p"/>
          </m:rPr>
          <m:t>}</m:t>
        </m:r>
      </m:oMath>
      <w:r>
        <w:rPr>
          <w:i/>
          <w:iCs/>
        </w:rPr>
        <w:t xml:space="preserve"> </w:t>
      </w:r>
      <w:r>
        <w:rPr>
          <w:i/>
          <w:iCs/>
        </w:rPr>
        <w:t xml:space="preserve">of</w:t>
      </w:r>
      <w:r>
        <w:rPr>
          <w:i/>
          <w:iCs/>
        </w:rPr>
        <w:t xml:space="preserve"> </w:t>
      </w:r>
      <m:oMath>
        <m:sSup>
          <m:e>
            <m:r>
              <m:t>T</m:t>
            </m:r>
          </m:e>
          <m:sup>
            <m:r>
              <m:rPr>
                <m:sty m:val="p"/>
              </m:rPr>
              <m:t>⋆</m:t>
            </m:r>
          </m:sup>
        </m:sSup>
      </m:oMath>
      <w:r>
        <w:rPr>
          <w:i/>
          <w:iCs/>
        </w:rPr>
        <w:t xml:space="preserve">,</w:t>
      </w:r>
      <w:r>
        <w:rPr>
          <w:i/>
          <w:iCs/>
        </w:rPr>
        <w:t xml:space="preserve"> </w:t>
      </w:r>
      <m:oMathPara>
        <m:oMathParaPr>
          <m:jc m:val="center"/>
        </m:oMathParaPr>
        <m:oMath>
          <m:sSub>
            <m:e>
              <m:bar>
                <m:barPr>
                  <m:pos m:val="top"/>
                </m:barPr>
                <m:e>
                  <m:r>
                    <m:rPr>
                      <m:sty m:val="p"/>
                    </m:rPr>
                    <m:t>Ψ</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2</m:t>
                  </m:r>
                </m:sub>
              </m:sSub>
            </m:sub>
          </m:sSub>
          <m:r>
            <m:rPr>
              <m:sty m:val="p"/>
            </m:rPr>
            <m:t>)</m:t>
          </m:r>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Ψ</m:t>
            </m:r>
          </m:e>
          <m:sub>
            <m:sSup>
              <m:e>
                <m:r>
                  <m:t>T</m:t>
                </m:r>
              </m:e>
              <m:sup>
                <m:r>
                  <m:rPr>
                    <m:sty m:val="p"/>
                  </m:rPr>
                  <m:t>⋆</m:t>
                </m:r>
              </m:sup>
            </m:sSup>
          </m:sub>
        </m:sSub>
      </m:oMath>
      <w:r>
        <w:rPr>
          <w:i/>
          <w:iCs/>
        </w:rPr>
        <w:t xml:space="preserve">. Hence</w:t>
      </w:r>
      <w:r>
        <w:rPr>
          <w:i/>
          <w:iCs/>
        </w:rPr>
        <w:t xml:space="preserve"> </w:t>
      </w:r>
      <m:oMath>
        <m:sSub>
          <m:e>
            <m:bar>
              <m:barPr>
                <m:pos m:val="top"/>
              </m:barPr>
              <m:e>
                <m:r>
                  <m:rPr>
                    <m:sty m:val="p"/>
                  </m:rPr>
                  <m:t>Ψ</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 harmful non-monotonicity</w:t>
      </w:r>
      <w:r>
        <w:rPr>
          <w:i/>
          <w:iCs/>
        </w:rPr>
        <w:t xml:space="preserve"> </w:t>
      </w:r>
      <m:oMath>
        <m:sSub>
          <m:e>
            <m:r>
              <m:rPr>
                <m:sty m:val="p"/>
              </m:rPr>
              <m:t>Ψ</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w:t>
      </w:r>
      <w:r>
        <w:rPr>
          <w:i/>
          <w:iCs/>
        </w:rPr>
        <w:t xml:space="preserve"> </w:t>
      </w:r>
      <w:r>
        <w:rPr>
          <w:i/>
          <w:iCs/>
        </w:rPr>
        <w:t xml:space="preserve">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4</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6), and omitting it would repeat the multiplicity error we criticize.</w:t>
      </w:r>
    </w:p>
    <w:bookmarkEnd w:id="61"/>
    <w:bookmarkStart w:id="62" w:name="rem:leaky"/>
    <w:p>
      <w:pPr>
        <w:pStyle w:val="FirstParagraph"/>
      </w:pPr>
      <w:r>
        <w:rPr>
          <w:i/>
          <w:iCs/>
        </w:rPr>
        <w:t xml:space="preserve">Remark 5</w:t>
      </w:r>
      <w:r>
        <w:t xml:space="preserve"> </w:t>
      </w:r>
      <w:r>
        <w:t xml:space="preserve">(The leaky-baseline limitation, stated as a protocol).</w:t>
      </w:r>
      <w:r>
        <w:t xml:space="preserve"> </w:t>
      </w:r>
      <w:r>
        <w:t xml:space="preserve"> </w:t>
      </w:r>
      <w:r>
        <w:t xml:space="preserve">The upper bound (7)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w:t>
      </w:r>
      <w:r>
        <w:t xml:space="preserve"> </w:t>
      </w:r>
      <w:r>
        <w:rPr>
          <w:rStyle w:val="VerbatimChar"/>
        </w:rPr>
        <w:t xml:space="preserve">none</w:t>
      </w:r>
      <w:r>
        <w:t xml:space="preserve">-baseline floors near</w:t>
      </w:r>
      <w:r>
        <w:t xml:space="preserve"> </w:t>
      </w:r>
      <m:oMath>
        <m:r>
          <m:t>0</m:t>
        </m:r>
      </m:oMath>
      <w:r>
        <w:t xml:space="preserve"> </w:t>
      </w:r>
      <w:r>
        <w:t xml:space="preserve">(the convention is</w:t>
      </w:r>
      <w:r>
        <w:t xml:space="preserve"> </w:t>
      </w:r>
      <w:r>
        <w:t xml:space="preserve">unguessable for the model under test). When the baseline is non-zero, e.g. </w:t>
      </w:r>
      <w:r>
        <w:rPr>
          <w:rStyle w:val="VerbatimChar"/>
        </w:rPr>
        <w:t xml:space="preserve">api_argorder</w:t>
      </w:r>
      <w:r>
        <w:t xml:space="preserve"> </w:t>
      </w:r>
      <w:r>
        <w:t xml:space="preserve">at</w:t>
      </w:r>
      <w:r>
        <w:t xml:space="preserve"> </w:t>
      </w:r>
      <m:oMath>
        <m:r>
          <m:rPr>
            <m:nor/>
            <m:scr m:val="monospace"/>
            <m:sty m:val="p"/>
          </m:rPr>
          <m:t>none</m:t>
        </m:r>
        <m:r>
          <m:rPr>
            <m:sty m:val="p"/>
          </m:rPr>
          <m:t>=</m:t>
        </m:r>
        <m:r>
          <m:t>75</m:t>
        </m:r>
        <m:r>
          <m:rPr>
            <m:sty m:val="p"/>
          </m:rPr>
          <m:t>%</m:t>
        </m:r>
      </m:oMath>
      <w:r>
        <w:t xml:space="preserve"> </w:t>
      </w:r>
      <w:r>
        <w:t xml:space="preserve">for GPT-5.5,</w:t>
      </w:r>
      <w:r>
        <w:t xml:space="preserve"> </w:t>
      </w:r>
      <m:oMath>
        <m:r>
          <m:t>45</m:t>
        </m:r>
        <m:r>
          <m:rPr>
            <m:sty m:val="p"/>
          </m:rPr>
          <m:t>%</m:t>
        </m:r>
      </m:oMath>
      <w:r>
        <w:t xml:space="preserve"> </w:t>
      </w:r>
      <w:r>
        <w:t xml:space="preserve">for Kimi,</w:t>
      </w:r>
      <w:r>
        <w:t xml:space="preserve"> </w:t>
      </w:r>
      <m:oMath>
        <m:r>
          <m:t>15</m:t>
        </m:r>
        <m:r>
          <m:rPr>
            <m:sty m:val="p"/>
          </m:rPr>
          <m:t>%</m:t>
        </m:r>
      </m:oMath>
      <w:r>
        <w:t xml:space="preserve"> </w:t>
      </w:r>
      <w:r>
        <w:t xml:space="preserve">for Opus, the bound is mechanically</w:t>
      </w:r>
      <w:r>
        <w:t xml:space="preserve"> </w:t>
      </w:r>
      <w:r>
        <w:t xml:space="preserve">slack and harm is not verifiable even when the point estimate is strongly negative. We therefore</w:t>
      </w:r>
      <w:r>
        <w:t xml:space="preserve"> </w:t>
      </w:r>
      <w:r>
        <w:t xml:space="preserve">adopt the explicit protocol:</w:t>
      </w:r>
      <w:r>
        <w:t xml:space="preserve"> </w:t>
      </w:r>
      <w:r>
        <w:rPr>
          <w:i/>
          <w:iCs/>
        </w:rPr>
        <w:t xml:space="preserve">verify</w:t>
      </w:r>
      <w:r>
        <w:rPr>
          <w:i/>
          <w:iCs/>
        </w:rPr>
        <w:t xml:space="preserve"> </w:t>
      </w:r>
      <m:oMath>
        <m:sSub>
          <m:e>
            <m:r>
              <m:rPr>
                <m:sty m:val="p"/>
              </m:rPr>
              <m:t>Ψ</m:t>
            </m:r>
          </m:e>
          <m:sub>
            <m:r>
              <m:t>T</m:t>
            </m:r>
          </m:sub>
        </m:sSub>
      </m:oMath>
      <w:r>
        <w:rPr>
          <w:i/>
          <w:iCs/>
        </w:rPr>
        <w:t xml:space="preserve"> </w:t>
      </w:r>
      <w:r>
        <w:rPr>
          <w:i/>
          <w:iCs/>
        </w:rPr>
        <w:t xml:space="preserve">only on cells whose</w:t>
      </w:r>
      <w:r>
        <w:rPr>
          <w:i/>
          <w:iCs/>
        </w:rPr>
        <w:t xml:space="preserve"> </w:t>
      </w:r>
      <w:r>
        <w:rPr>
          <w:rStyle w:val="VerbatimChar"/>
          <w:i/>
          <w:iCs/>
        </w:rPr>
        <w:t xml:space="preserve">none</w:t>
      </w:r>
      <w:r>
        <w:rPr>
          <w:i/>
          <w:iCs/>
        </w:rPr>
        <w:t xml:space="preserve">-baseline</w:t>
      </w:r>
      <w:r>
        <w:rPr>
          <w:i/>
          <w:iCs/>
        </w:rPr>
        <w:t xml:space="preserve"> </w:t>
      </w:r>
      <w:r>
        <w:rPr>
          <w:i/>
          <w:iCs/>
        </w:rPr>
        <w:t xml:space="preserve">floors near</w:t>
      </w:r>
      <w:r>
        <w:rPr>
          <w:i/>
          <w:iCs/>
        </w:rPr>
        <w:t xml:space="preserve"> </w:t>
      </w:r>
      <m:oMath>
        <m:r>
          <m:t>0</m:t>
        </m:r>
      </m:oMath>
      <w:r>
        <w:rPr>
          <w:i/>
          <w:iCs/>
        </w:rPr>
        <w:t xml:space="preserve"> </w:t>
      </w:r>
      <w:r>
        <w:rPr>
          <w:i/>
          <w:iCs/>
        </w:rPr>
        <w:t xml:space="preserve">for the model under test</w:t>
      </w:r>
      <w:r>
        <w:t xml:space="preserve">, and report, per model, which cell carried the verification</w:t>
      </w:r>
      <w:r>
        <w:t xml:space="preserve"> </w:t>
      </w:r>
      <w:r>
        <w:t xml:space="preserve">and what its baseline was. This makes the cell selection a stated rule rather than an outcome-driven</w:t>
      </w:r>
      <w:r>
        <w:t xml:space="preserve"> </w:t>
      </w:r>
      <w:r>
        <w:t xml:space="preserve">choice. The same model-relative guessability that defines the value of private context</w:t>
      </w:r>
      <w:r>
        <w:t xml:space="preserve"> </w:t>
      </w:r>
      <w:r>
        <w:t xml:space="preserve">(§3.3) thus governs which cells can carry the interference verification.</w:t>
      </w:r>
    </w:p>
    <w:bookmarkEnd w:id="62"/>
    <w:bookmarkEnd w:id="63"/>
    <w:bookmarkStart w:id="65"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Ψ</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4"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monotone-submodular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4"/>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5"/>
    <w:bookmarkStart w:id="66"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which is why the consolidated record marks Opus incomparability as verified and Opus interference as reproduced but not verified; the power analysis is in Appendix A.</w:t>
      </w:r>
    </w:p>
    <w:bookmarkEnd w:id="66"/>
    <w:bookmarkEnd w:id="67"/>
    <w:bookmarkStart w:id="107"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0"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8"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8"/>
    <w:bookmarkStart w:id="69"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8), we report that leakage explicitly and</w:t>
      </w:r>
      <w:r>
        <w:t xml:space="preserve"> </w:t>
      </w:r>
      <w:r>
        <w:t xml:space="preserve">do not use those cells for claims that require a near-zero baseline.</w:t>
      </w:r>
    </w:p>
    <w:bookmarkEnd w:id="69"/>
    <w:bookmarkEnd w:id="70"/>
    <w:bookmarkStart w:id="73"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1"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1"/>
    <w:bookmarkStart w:id="72"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2"/>
    <w:bookmarkEnd w:id="73"/>
    <w:bookmarkStart w:id="83" w:name="sec:methodology"/>
    <w:p>
      <w:pPr>
        <w:pStyle w:val="Heading2"/>
      </w:pPr>
      <w:r>
        <w:t xml:space="preserve">Methodology</w:t>
      </w:r>
    </w:p>
    <w:bookmarkStart w:id="74"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4"/>
    <w:bookmarkStart w:id="76" w:name="harness-and-arms."/>
    <w:p>
      <w:pPr>
        <w:pStyle w:val="Heading4"/>
      </w:pPr>
      <w:r>
        <w:t xml:space="preserve">Harness and arms.</w:t>
      </w:r>
    </w:p>
    <w:p>
      <w:pPr>
        <w:pStyle w:val="FirstParagraph"/>
      </w:pPr>
      <w:r>
        <w:t xml:space="preserve">The harness (</w:t>
      </w:r>
      <w:r>
        <w:rPr>
          <w:rStyle w:val="VerbatimChar"/>
        </w:rPr>
        <w:t xml:space="preserve">tokenbench/measure_blackwell.py</w:t>
      </w:r>
      <w:r>
        <w:t xml:space="preserve">; released with all run logs at</w:t>
      </w:r>
      <w:r>
        <w:t xml:space="preserve"> </w:t>
      </w:r>
      <w:hyperlink r:id="rId75">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6"/>
    <w:bookmarkStart w:id="77"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7"/>
    <w:bookmarkStart w:id="78"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the family of claims is corrected by a union bound, so all verified</w:t>
      </w:r>
      <w:r>
        <w:t xml:space="preserve"> </w:t>
      </w:r>
      <w:r>
        <w:t xml:space="preserve">statements hold jointly with probability at least</w:t>
      </w:r>
      <w:r>
        <w:t xml:space="preserve"> </w:t>
      </w:r>
      <m:oMath>
        <m:r>
          <m:t>90</m:t>
        </m:r>
        <m:r>
          <m:rPr>
            <m:sty m:val="p"/>
          </m:rPr>
          <m:t>%</m:t>
        </m:r>
      </m:oMath>
      <w:r>
        <w:t xml:space="preserve">.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8"/>
    <w:bookmarkStart w:id="79"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interference verification uses</w:t>
      </w:r>
      <w:r>
        <w:t xml:space="preserve"> </w:t>
      </w:r>
      <m:oMath>
        <m:r>
          <m:t>α</m:t>
        </m:r>
        <m:r>
          <m:rPr>
            <m:sty m:val="p"/>
          </m:rPr>
          <m:t>=</m:t>
        </m:r>
        <m:r>
          <m:t>η</m:t>
        </m:r>
        <m:r>
          <m:rPr>
            <m:sty m:val="p"/>
          </m:rPr>
          <m:t>/</m:t>
        </m:r>
        <m:r>
          <m:t>4</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Ψ</m:t>
            </m:r>
          </m:e>
          <m:sub>
            <m:r>
              <m:t>T</m:t>
            </m:r>
          </m:sub>
        </m:sSub>
        <m:r>
          <m:rPr>
            <m:sty m:val="p"/>
          </m:rPr>
          <m:t>≤</m:t>
        </m:r>
        <m:r>
          <m:rPr>
            <m:sty m:val="p"/>
          </m:rPr>
          <m:t>−</m:t>
        </m:r>
        <m:r>
          <m:t>τ</m:t>
        </m:r>
      </m:oMath>
      <w:r>
        <w:t xml:space="preserve"> </w:t>
      </w:r>
      <w:r>
        <w:t xml:space="preserve">via the upper bound</w:t>
      </w:r>
      <w:r>
        <w:t xml:space="preserve"> </w:t>
      </w:r>
      <w:r>
        <w:t xml:space="preserve">of (7).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§8.6).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incomparability at small</w:t>
      </w:r>
      <w:r>
        <w:t xml:space="preserve"> </w:t>
      </w:r>
      <m:oMath>
        <m:r>
          <m:t>n</m:t>
        </m:r>
      </m:oMath>
      <w:r>
        <w:t xml:space="preserve"> </w:t>
      </w:r>
      <w:r>
        <w:t xml:space="preserve">while</w:t>
      </w:r>
      <w:r>
        <w:t xml:space="preserve"> </w:t>
      </w:r>
      <w:r>
        <w:t xml:space="preserve">the interference contrast, which mixes intermediate baselines, does not.</w:t>
      </w:r>
    </w:p>
    <w:bookmarkEnd w:id="79"/>
    <w:bookmarkStart w:id="80"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in both directions. The verified collapses clear it with upper confidence bounds from</w:t>
      </w:r>
      <w:r>
        <w:t xml:space="preserve"> </w:t>
      </w:r>
      <m:oMath>
        <m:r>
          <m:rPr>
            <m:sty m:val="p"/>
          </m:rPr>
          <m:t>−</m:t>
        </m:r>
        <m:r>
          <m:t>0.36</m:t>
        </m:r>
      </m:oMath>
      <w:r>
        <w:t xml:space="preserve"> </w:t>
      </w:r>
      <w:r>
        <w:t xml:space="preserve">to</w:t>
      </w:r>
      <w:r>
        <w:t xml:space="preserve"> </w:t>
      </w:r>
      <m:oMath>
        <m:r>
          <m:rPr>
            <m:sty m:val="p"/>
          </m:rPr>
          <m:t>−</m:t>
        </m:r>
        <m:r>
          <m:t>0.69</m:t>
        </m:r>
      </m:oMath>
      <w:r>
        <w:t xml:space="preserve"> </w:t>
      </w:r>
      <w:r>
        <w:t xml:space="preserve">(Table 6); the length-matched padding control clears it at</w:t>
      </w:r>
      <w:r>
        <w:t xml:space="preserve"> </w:t>
      </w:r>
      <m:oMath>
        <m:r>
          <m:rPr>
            <m:sty m:val="p"/>
          </m:rPr>
          <m:t>−</m:t>
        </m:r>
        <m:r>
          <m:t>0.41</m:t>
        </m:r>
      </m:oMath>
      <w:r>
        <w:t xml:space="preserve">.</w:t>
      </w:r>
      <w:r>
        <w:t xml:space="preserve"> </w:t>
      </w:r>
      <w:r>
        <w:t xml:space="preserve">Three real effects fail it and are reported as unverified rather than folded in: Opus’s milder</w:t>
      </w:r>
      <w:r>
        <w:t xml:space="preserve"> </w:t>
      </w:r>
      <w:r>
        <w:t xml:space="preserve">collapse (</w:t>
      </w:r>
      <m:oMath>
        <m:r>
          <m:t>100</m:t>
        </m:r>
        <m:r>
          <m:rPr>
            <m:sty m:val="p"/>
          </m:rPr>
          <m:t>%</m:t>
        </m:r>
        <m:r>
          <m:t>​</m:t>
        </m:r>
        <m:r>
          <m:rPr>
            <m:sty m:val="p"/>
          </m:rPr>
          <m:t>→</m:t>
        </m:r>
        <m:r>
          <m:t>​</m:t>
        </m:r>
        <m:r>
          <m:t>38</m:t>
        </m:r>
        <m:r>
          <m:rPr>
            <m:sty m:val="p"/>
          </m:rPr>
          <m:t>%</m:t>
        </m:r>
      </m:oMath>
      <w:r>
        <w:t xml:space="preserve">, upper</w:t>
      </w:r>
      <w:r>
        <w:t xml:space="preserve"> </w:t>
      </w:r>
      <m:oMath>
        <m:r>
          <m:rPr>
            <m:sty m:val="p"/>
          </m:rPr>
          <m:t>−</m:t>
        </m:r>
        <m:r>
          <m:t>0.23</m:t>
        </m:r>
      </m:oMath>
      <w:r>
        <w:t xml:space="preserve">), Haiku’s low-ceiling cell (upper</w:t>
      </w:r>
      <w:r>
        <w:t xml:space="preserve"> </w:t>
      </w:r>
      <m:oMath>
        <m:r>
          <m:rPr>
            <m:sty m:val="p"/>
          </m:rPr>
          <m:t>+</m:t>
        </m:r>
        <m:r>
          <m:t>0.08</m:t>
        </m:r>
      </m:oMath>
      <w:r>
        <w:t xml:space="preserve">), and the</w:t>
      </w:r>
      <w:r>
        <w:t xml:space="preserve"> </w:t>
      </w:r>
      <w:r>
        <w:t xml:space="preserve">second-pair contrast (upper</w:t>
      </w:r>
      <w:r>
        <w:t xml:space="preserve"> </w:t>
      </w:r>
      <m:oMath>
        <m:r>
          <m:rPr>
            <m:sty m:val="p"/>
          </m:rPr>
          <m:t>−</m:t>
        </m:r>
        <m:r>
          <m:t>0.21</m:t>
        </m:r>
      </m:oMath>
      <w:r>
        <w:t xml:space="preserve">, sign-only; §7.5). A threshold that</w:t>
      </w:r>
      <w:r>
        <w:t xml:space="preserve"> </w:t>
      </w:r>
      <w:r>
        <w:t xml:space="preserve">genuine effects fail is evidence it was not tuned to pass the data.</w:t>
      </w:r>
    </w:p>
    <w:bookmarkEnd w:id="80"/>
    <w:bookmarkStart w:id="81"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1"/>
    <w:bookmarkStart w:id="82"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82"/>
    <w:bookmarkEnd w:id="83"/>
    <w:bookmarkStart w:id="103"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4, 6, and</w:t>
      </w:r>
      <w:r>
        <w:t xml:space="preserve"> </w:t>
      </w:r>
      <w:r>
        <w:t xml:space="preserve">8 give the underlying quantities.</w:t>
      </w:r>
    </w:p>
    <w:bookmarkStart w:id="84"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w:t>
      </w:r>
      <w:r>
        <w:t xml:space="preserve"> </w:t>
      </w:r>
      <w:r>
        <w:t xml:space="preserve">cells on which the interference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cells on which the interference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w:t>
            </w:r>
          </w:p>
        </w:tc>
        <w:tc>
          <w:tcPr/>
          <w:p>
            <w:pPr>
              <w:pStyle w:val="Compact"/>
              <w:jc w:val="center"/>
            </w:pPr>
            <w:r>
              <w:t xml:space="preserve">1</w:t>
            </w:r>
          </w:p>
        </w:tc>
        <w:tc>
          <w:tcPr/>
          <w:p>
            <w:pPr>
              <w:pStyle w:val="Compact"/>
              <w:jc w:val="center"/>
            </w:pPr>
            <w:r>
              <w:t xml:space="preserve">2</w:t>
            </w:r>
          </w:p>
        </w:tc>
        <w:tc>
          <w:tcPr/>
          <w:p>
            <w:pPr>
              <w:pStyle w:val="Compact"/>
              <w:jc w:val="center"/>
            </w:pPr>
            <m:oMath>
              <m:r>
                <m:t>0</m:t>
              </m:r>
            </m:oMath>
            <w:r>
              <w:t xml:space="preserve"> </w:t>
            </w:r>
            <w:r>
              <w:t xml:space="preserve">(repro.)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4"/>
    <w:bookmarkStart w:id="87"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4).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each row of Table 4 requires both</w:t>
      </w:r>
      <w:r>
        <w:t xml:space="preserve"> </w:t>
      </w:r>
      <w:r>
        <w:t xml:space="preserve">bounds positive; the 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Start w:id="85" w:name="tab:LD"/>
    <w:p>
      <w:pPr>
        <w:pStyle w:val="TableCaption"/>
      </w:pPr>
      <w:r>
        <w:t xml:space="preserve">Verified incomparability: uniform</w:t>
      </w:r>
      <w:r>
        <w:t xml:space="preserve"> </w:t>
      </w:r>
      <m:oMath>
        <m:r>
          <m:rPr>
            <m:sty m:val="p"/>
          </m:rPr>
          <m:t>(</m:t>
        </m:r>
        <m:r>
          <m:t>1</m:t>
        </m:r>
        <m:r>
          <m:rPr>
            <m:sty m:val="p"/>
          </m:rPr>
          <m:t>−</m:t>
        </m:r>
        <m:r>
          <m:t>η</m:t>
        </m:r>
        <m:r>
          <m:rPr>
            <m:sty m:val="p"/>
          </m:rPr>
          <m:t>)</m:t>
        </m:r>
      </m:oMath>
      <w:r>
        <w:t xml:space="preserve"> </w:t>
      </w:r>
      <w:r>
        <w:t xml:space="preserve">lower bounds</w:t>
      </w:r>
      <w:r>
        <w:t xml:space="preserve"> </w:t>
      </w:r>
      <m:oMath>
        <m:sSub>
          <m:e>
            <m:r>
              <m:t>L</m:t>
            </m:r>
          </m:e>
          <m:sub>
            <m:r>
              <m:rPr>
                <m:scr m:val="script"/>
                <m:sty m:val="p"/>
              </m:rPr>
              <m:t>D</m:t>
            </m:r>
          </m:sub>
        </m:sSub>
      </m:oMath>
      <w:r>
        <w:t xml:space="preserve"> </w:t>
      </w:r>
      <w:r>
        <w:t xml:space="preserve">in both directions</w:t>
      </w:r>
      <w:r>
        <w:t xml:space="preserve"> </w:t>
      </w:r>
      <w:r>
        <w:t xml:space="preserve">(</w:t>
      </w:r>
      <m:oMath>
        <m:r>
          <m:t>η</m:t>
        </m:r>
        <m:r>
          <m:rPr>
            <m:sty m:val="p"/>
          </m:rPr>
          <m:t>=</m:t>
        </m:r>
        <m:r>
          <m:t>0.10</m:t>
        </m:r>
      </m:oMath>
      <w:r>
        <w:t xml:space="preserve">).</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together verify empirical</w:t>
      </w:r>
      <w:r>
        <w:t xml:space="preserve"> </w:t>
      </w:r>
      <w:r>
        <w:t xml:space="preserve">incomparability. Both bounds are read off the same</w:t>
      </w:r>
      <w:r>
        <w:t xml:space="preserve"> </w:t>
      </w:r>
      <m:oMath>
        <m:r>
          <m:t>2</m:t>
        </m:r>
        <m:r>
          <m:rPr>
            <m:sty m:val="p"/>
          </m:rPr>
          <m:t>|</m:t>
        </m:r>
        <m:r>
          <m:rPr>
            <m:scr m:val="script"/>
            <m:sty m:val="p"/>
          </m:rPr>
          <m:t>D</m:t>
        </m:r>
        <m:r>
          <m:rPr>
            <m:sty m:val="p"/>
          </m:rPr>
          <m:t>|</m:t>
        </m:r>
      </m:oMath>
      <w:r>
        <w:t xml:space="preserve"> </w:t>
      </w:r>
      <w:r>
        <w:t xml:space="preserve">Clopper–Pearson intervals</w:t>
      </w:r>
      <w:r>
        <w:t xml:space="preserve"> </w:t>
      </w:r>
      <w:r>
        <w:t xml:space="preserve">(Proposition 3).</w:t>
      </w:r>
    </w:p>
    <w:tbl>
      <w:tblPr>
        <w:tblStyle w:val="Table"/>
        <w:tblW w:type="auto" w:w="0"/>
        <w:tblLook w:firstRow="1" w:lastRow="0" w:firstColumn="0" w:lastColumn="0" w:noHBand="0" w:noVBand="0" w:val="0020"/>
        <w:tblCaption w:val="Verified incomparability: uniform (1-\eta) lower bounds L_{\mathcal{D}} in both directions (\eta=0.10). L_{\mathcal{D}}(W_1,W_2) &gt; 0 and L_{\mathcal{D}}(W_2,W_1) &gt; 0 together verify empirical incomparability. Both bounds are read off the same 2|\mathcal{D}| Clopper–Pearson intervals (Proposition 3)."/>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Vendor</w:t>
            </w:r>
          </w:p>
        </w:tc>
        <w:tc>
          <w:tcPr/>
          <w:p>
            <w:pPr>
              <w:pStyle w:val="Compact"/>
              <w:jc w:val="center"/>
            </w:pPr>
            <m:oMath>
              <m:r>
                <m:t>n</m:t>
              </m:r>
            </m:oMath>
            <w:r>
              <w:t xml:space="preserve">​</w:t>
            </w:r>
          </w:p>
        </w:tc>
        <w:tc>
          <w:tcPr/>
          <w:p>
            <w:pPr>
              <w:pStyle w:val="Compact"/>
              <w:jc w:val="center"/>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r>
      <w:tr>
        <w:tc>
          <w:tcPr/>
          <w:p>
            <w:pPr>
              <w:pStyle w:val="Compact"/>
              <w:jc w:val="left"/>
            </w:pPr>
            <w:r>
              <w:t xml:space="preserve">Haiku-4.5</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Sonnet-4.6</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Opus-4.8</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GPT-5.5</w:t>
            </w:r>
          </w:p>
        </w:tc>
        <w:tc>
          <w:tcPr/>
          <w:p>
            <w:pPr>
              <w:pStyle w:val="Compact"/>
              <w:jc w:val="left"/>
            </w:pPr>
            <w:r>
              <w:t xml:space="preserve">OpenAI</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DeepSeek-V4-Pro</w:t>
            </w:r>
          </w:p>
        </w:tc>
        <w:tc>
          <w:tcPr/>
          <w:p>
            <w:pPr>
              <w:pStyle w:val="Compact"/>
              <w:jc w:val="left"/>
            </w:pPr>
            <w:r>
              <w:t xml:space="preserve">DeepSeek</w:t>
            </w:r>
          </w:p>
        </w:tc>
        <w:tc>
          <w:tcPr/>
          <w:p>
            <w:pPr>
              <w:pStyle w:val="Compact"/>
              <w:jc w:val="center"/>
            </w:pPr>
            <w:r>
              <w:t xml:space="preserve">40</w:t>
            </w:r>
          </w:p>
        </w:tc>
        <w:tc>
          <w:tcPr/>
          <w:p>
            <w:pPr>
              <w:pStyle w:val="Compact"/>
              <w:jc w:val="center"/>
            </w:pPr>
            <m:oMath>
              <m:r>
                <m:rPr>
                  <m:sty m:val="p"/>
                </m:rPr>
                <m:t>+</m:t>
              </m:r>
              <m:r>
                <m:t>0.347</m:t>
              </m:r>
            </m:oMath>
            <w:r>
              <w:t xml:space="preserve">​</w:t>
            </w:r>
          </w:p>
        </w:tc>
        <w:tc>
          <w:tcPr/>
          <w:p>
            <w:pPr>
              <w:pStyle w:val="Compact"/>
              <w:jc w:val="center"/>
            </w:pPr>
            <m:oMath>
              <m:r>
                <m:rPr>
                  <m:sty m:val="p"/>
                </m:rPr>
                <m:t>+</m:t>
              </m:r>
              <m:r>
                <m:t>0.715</m:t>
              </m:r>
            </m:oMath>
            <w:r>
              <w:t xml:space="preserve">​</w:t>
            </w:r>
          </w:p>
        </w:tc>
      </w:tr>
      <w:tr>
        <w:tc>
          <w:tcPr/>
          <w:p>
            <w:pPr>
              <w:pStyle w:val="Compact"/>
              <w:jc w:val="left"/>
            </w:pPr>
            <w:r>
              <w:t xml:space="preserve">Kimi-K2.6</w:t>
            </w:r>
          </w:p>
        </w:tc>
        <w:tc>
          <w:tcPr/>
          <w:p>
            <w:pPr>
              <w:pStyle w:val="Compact"/>
              <w:jc w:val="left"/>
            </w:pPr>
            <w:r>
              <w:t xml:space="preserve">Moonshot</w:t>
            </w:r>
          </w:p>
        </w:tc>
        <w:tc>
          <w:tcPr/>
          <w:p>
            <w:pPr>
              <w:pStyle w:val="Compact"/>
              <w:jc w:val="center"/>
            </w:pPr>
            <w:r>
              <w:t xml:space="preserve">40</w:t>
            </w:r>
          </w:p>
        </w:tc>
        <w:tc>
          <w:tcPr/>
          <w:p>
            <w:pPr>
              <w:pStyle w:val="Compact"/>
              <w:jc w:val="center"/>
            </w:pPr>
            <m:oMath>
              <m:r>
                <m:rPr>
                  <m:sty m:val="p"/>
                </m:rPr>
                <m:t>+</m:t>
              </m:r>
              <m:r>
                <m:t>0.675</m:t>
              </m:r>
            </m:oMath>
            <w:r>
              <w:t xml:space="preserve">​</w:t>
            </w:r>
          </w:p>
        </w:tc>
        <w:tc>
          <w:tcPr/>
          <w:p>
            <w:pPr>
              <w:pStyle w:val="Compact"/>
              <w:jc w:val="center"/>
            </w:pPr>
            <m:oMath>
              <m:r>
                <m:rPr>
                  <m:sty m:val="p"/>
                </m:rPr>
                <m:t>+</m:t>
              </m:r>
              <m:r>
                <m:t>0.762</m:t>
              </m:r>
            </m:oMath>
            <w:r>
              <w:t xml:space="preserve">​</w:t>
            </w:r>
          </w:p>
        </w:tc>
      </w:tr>
    </w:tbl>
    <w:bookmarkEnd w:id="85"/>
    <w:bookmarkStart w:id="86" w:name="Xb26a34529b3197c54b6ef78a1946345b612d255"/>
    <w:p>
      <w:pPr>
        <w:pStyle w:val="Heading4"/>
      </w:pPr>
      <w:r>
        <w:t xml:space="preserve">Why Opus verifies incomparability but not interference.</w:t>
      </w:r>
    </w:p>
    <w:p>
      <w:pPr>
        <w:pStyle w:val="FirstParagraph"/>
      </w:pPr>
      <w:r>
        <w:t xml:space="preserve">Opus verifies incomparability (</w:t>
      </w:r>
      <m:oMath>
        <m:sSub>
          <m:e>
            <m:r>
              <m:t>L</m:t>
            </m:r>
          </m:e>
          <m:sub>
            <m:r>
              <m:rPr>
                <m:scr m:val="script"/>
                <m:sty m:val="p"/>
              </m:rPr>
              <m:t>D</m:t>
            </m:r>
          </m:sub>
        </m:sSub>
        <m:r>
          <m:rPr>
            <m:sty m:val="p"/>
          </m:rPr>
          <m:t>=</m:t>
        </m:r>
        <m:r>
          <m:rPr>
            <m:sty m:val="p"/>
          </m:rPr>
          <m:t>+</m:t>
        </m:r>
        <m:r>
          <m:t>0.715</m:t>
        </m:r>
        <m:r>
          <m:rPr>
            <m:sty m:val="p"/>
          </m:rPr>
          <m:t>/</m:t>
        </m:r>
        <m:r>
          <m:rPr>
            <m:sty m:val="p"/>
          </m:rPr>
          <m:t>+</m:t>
        </m:r>
        <m:r>
          <m:t>0.762</m:t>
        </m:r>
      </m:oMath>
      <w:r>
        <w:t xml:space="preserve">) but not anti-monotonicity, and the</w:t>
      </w:r>
      <w:r>
        <w:t xml:space="preserve"> </w:t>
      </w:r>
      <w:r>
        <w:t xml:space="preserve">reason is instructive. Incomparability is carried by stark cells whose proportions sit at</w:t>
      </w:r>
      <w:r>
        <w:t xml:space="preserve"> </w:t>
      </w:r>
      <m:oMath>
        <m:r>
          <m:t>0</m:t>
        </m:r>
      </m:oMath>
      <w:r>
        <w:t xml:space="preserve"> </w:t>
      </w:r>
      <w:r>
        <w:t xml:space="preserve">or</w:t>
      </w:r>
      <w:r>
        <w:t xml:space="preserve"> </w:t>
      </w:r>
      <m:oMath>
        <m:r>
          <m:t>1</m:t>
        </m:r>
      </m:oMath>
      <w:r>
        <w:t xml:space="preserve">, where the Clopper–Pearson interval is tight. The interference bound instead mixes the</w:t>
      </w:r>
      <w:r>
        <w:t xml:space="preserve"> </w:t>
      </w:r>
      <m:oMath>
        <m:sSub>
          <m:e>
            <m:r>
              <m:t>W</m:t>
            </m:r>
          </m:e>
          <m:sub>
            <m:r>
              <m:t>1</m:t>
            </m:r>
            <m:r>
              <m:rPr>
                <m:sty m:val="p"/>
              </m:rPr>
              <m:t>+</m:t>
            </m:r>
          </m:sub>
        </m:sSub>
      </m:oMath>
      <w:r>
        <w:t xml:space="preserve">,</w:t>
      </w:r>
      <w:r>
        <w:t xml:space="preserve"> </w:t>
      </w:r>
      <m:oMath>
        <m:sSub>
          <m:e>
            <m:r>
              <m:t>W</m:t>
            </m:r>
          </m:e>
          <m:sub>
            <m:r>
              <m:t>1</m:t>
            </m:r>
          </m:sub>
        </m:sSub>
      </m:oMath>
      <w:r>
        <w:t xml:space="preserve">,</w:t>
      </w:r>
      <w:r>
        <w:t xml:space="preserve"> </w:t>
      </w:r>
      <m:oMath>
        <m:sSub>
          <m:e>
            <m:r>
              <m:t>W</m:t>
            </m:r>
          </m:e>
          <m:sub>
            <m:r>
              <m:t>2</m:t>
            </m:r>
          </m:sub>
        </m:sSub>
      </m:oMath>
      <w:r>
        <w:t xml:space="preserve">, and</w:t>
      </w:r>
      <w:r>
        <w:t xml:space="preserve"> </w:t>
      </w:r>
      <w:r>
        <w:rPr>
          <w:rStyle w:val="VerbatimChar"/>
        </w:rPr>
        <w:t xml:space="preserve">none</w:t>
      </w:r>
      <w:r>
        <w:t xml:space="preserve"> </w:t>
      </w:r>
      <w:r>
        <w:t xml:space="preserve">arms: Opus’s superset collapse on</w:t>
      </w:r>
      <w:r>
        <w:t xml:space="preserve"> </w:t>
      </w:r>
      <w:r>
        <w:rPr>
          <w:rStyle w:val="VerbatimChar"/>
        </w:rPr>
        <w:t xml:space="preserve">api_post_ok</w:t>
      </w:r>
      <w:r>
        <w:t xml:space="preserve"> </w:t>
      </w:r>
      <w:r>
        <w:t xml:space="preserve">is real but milder (</w:t>
      </w:r>
      <m:oMath>
        <m:r>
          <m:t>100</m:t>
        </m:r>
        <m:r>
          <m:rPr>
            <m:sty m:val="p"/>
          </m:rPr>
          <m:t>%</m:t>
        </m:r>
        <m:r>
          <m:rPr>
            <m:sty m:val="p"/>
          </m:rPr>
          <m:t>→</m:t>
        </m:r>
        <m:r>
          <m:t>38</m:t>
        </m:r>
        <m:r>
          <m:rPr>
            <m:sty m:val="p"/>
          </m:rPr>
          <m:t>%</m:t>
        </m:r>
      </m:oMath>
      <w:r>
        <w:t xml:space="preserve">, upper bound</w:t>
      </w:r>
      <w:r>
        <w:t xml:space="preserve"> </w:t>
      </w:r>
      <m:oMath>
        <m:r>
          <m:rPr>
            <m:sty m:val="p"/>
          </m:rPr>
          <m:t>−</m:t>
        </m:r>
        <m:r>
          <m:t>0.23</m:t>
        </m:r>
      </m:oMath>
      <w:r>
        <w:t xml:space="preserve">, short of</w:t>
      </w:r>
      <w:r>
        <w:t xml:space="preserve"> </w:t>
      </w:r>
      <m:oMath>
        <m:r>
          <m:rPr>
            <m:sty m:val="p"/>
          </m:rPr>
          <m:t>−</m:t>
        </m:r>
        <m:r>
          <m:t>τ</m:t>
        </m:r>
      </m:oMath>
      <w:r>
        <w:t xml:space="preserve">), and its</w:t>
      </w:r>
      <w:r>
        <w:t xml:space="preserve"> </w:t>
      </w:r>
      <w:r>
        <w:rPr>
          <w:rStyle w:val="VerbatimChar"/>
        </w:rPr>
        <w:t xml:space="preserve">api_argorder</w:t>
      </w:r>
      <w:r>
        <w:t xml:space="preserve"> </w:t>
      </w:r>
      <w:r>
        <w:t xml:space="preserve">baseline leaks (</w:t>
      </w:r>
      <w:r>
        <w:rPr>
          <w:rStyle w:val="VerbatimChar"/>
        </w:rPr>
        <w:t xml:space="preserve">none</w:t>
      </w:r>
      <w:r>
        <w:t xml:space="preserve"> </w:t>
      </w:r>
      <m:oMath>
        <m:r>
          <m:rPr>
            <m:sty m:val="p"/>
          </m:rPr>
          <m:t>=</m:t>
        </m:r>
        <m:r>
          <m:t>40</m:t>
        </m:r>
        <m:r>
          <m:rPr>
            <m:sty m:val="p"/>
          </m:rPr>
          <m:t>%</m:t>
        </m:r>
      </m:oMath>
      <w:r>
        <w:t xml:space="preserve">; Remark 5), so neither</w:t>
      </w:r>
      <w:r>
        <w:t xml:space="preserve"> </w:t>
      </w:r>
      <w:r>
        <w:t xml:space="preserve">cell verifies. Both facts are the same model-relative-value effect (§7.4.4): Opus</w:t>
      </w:r>
      <w:r>
        <w:t xml:space="preserve"> </w:t>
      </w:r>
      <w:r>
        <w:t xml:space="preserve">partially already knows the convention, which shrinks the harm the verification can attribute to the</w:t>
      </w:r>
      <w:r>
        <w:t xml:space="preserve"> </w:t>
      </w:r>
      <w:r>
        <w:t xml:space="preserve">added signal.</w:t>
      </w:r>
    </w:p>
    <w:bookmarkEnd w:id="86"/>
    <w:bookmarkEnd w:id="87"/>
    <w:bookmarkStart w:id="90"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9"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5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8"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8"/>
    <w:bookmarkEnd w:id="89"/>
    <w:bookmarkEnd w:id="90"/>
    <w:bookmarkStart w:id="99"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interference</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r>
          <m:t>T</m:t>
        </m:r>
        <m:r>
          <m:rPr>
            <m:sty m:val="p"/>
          </m:rPr>
          <m:t>)</m:t>
        </m:r>
      </m:oMath>
      <w:r>
        <w:t xml:space="preserve"> </w:t>
      </w:r>
      <w:r>
        <w:t xml:space="preserve">is verified negative (</w:t>
      </w:r>
      <m:oMath>
        <m:sSub>
          <m:e>
            <m:r>
              <m:rPr>
                <m:sty m:val="p"/>
              </m:rPr>
              <m:t>Ψ</m:t>
            </m:r>
          </m:e>
          <m:sub>
            <m:r>
              <m:t>T</m:t>
            </m:r>
          </m:sub>
        </m:sSub>
        <m:r>
          <m:rPr>
            <m:sty m:val="p"/>
          </m:rPr>
          <m:t>≤</m:t>
        </m:r>
        <m:r>
          <m:rPr>
            <m:sty m:val="p"/>
          </m:rPr>
          <m:t>−</m:t>
        </m:r>
        <m:r>
          <m:t>τ</m:t>
        </m:r>
      </m:oMath>
      <w:r>
        <w:t xml:space="preserve">,</w:t>
      </w:r>
      <w:r>
        <w:t xml:space="preserve"> </w:t>
      </w:r>
      <m:oMath>
        <m:r>
          <m:t>τ</m:t>
        </m:r>
        <m:r>
          <m:rPr>
            <m:sty m:val="p"/>
          </m:rPr>
          <m:t>=</m:t>
        </m:r>
        <m:r>
          <m:t>0.30</m:t>
        </m:r>
      </m:oMath>
      <w:r>
        <w:t xml:space="preserve">) on at</w:t>
      </w:r>
      <w:r>
        <w:t xml:space="preserve"> </w:t>
      </w:r>
      <w:r>
        <w:t xml:space="preserve">least one cell for five of the six models (Table 6). Opus reproduces the effect</w:t>
      </w:r>
      <w:r>
        <w:t xml:space="preserve"> </w:t>
      </w:r>
      <w:r>
        <w:t xml:space="preserve">(</w:t>
      </w:r>
      <m:oMath>
        <m:r>
          <m:t>100</m:t>
        </m:r>
        <m:r>
          <m:rPr>
            <m:sty m:val="p"/>
          </m:rPr>
          <m:t>%</m:t>
        </m:r>
        <m:r>
          <m:rPr>
            <m:sty m:val="p"/>
          </m:rPr>
          <m:t>→</m:t>
        </m:r>
        <m:r>
          <m:t>38</m:t>
        </m:r>
        <m:r>
          <m:rPr>
            <m:sty m:val="p"/>
          </m:rPr>
          <m:t>%</m:t>
        </m:r>
      </m:oMath>
      <w:r>
        <w:t xml:space="preserve">,</w:t>
      </w:r>
      <w:r>
        <w:t xml:space="preserve"> </w:t>
      </w:r>
      <m:oMath>
        <m:sSub>
          <m:e>
            <m:r>
              <m:rPr>
                <m:sty m:val="p"/>
              </m:rPr>
              <m:t>Ψ</m:t>
            </m:r>
          </m:e>
          <m:sub>
            <m:r>
              <m:t>T</m:t>
            </m:r>
          </m:sub>
        </m:sSub>
        <m:r>
          <m:rPr>
            <m:sty m:val="p"/>
          </m:rPr>
          <m:t>=</m:t>
        </m:r>
        <m:r>
          <m:rPr>
            <m:sty m:val="p"/>
          </m:rPr>
          <m:t>−</m:t>
        </m:r>
        <m:r>
          <m:t>0.62</m:t>
        </m:r>
      </m:oMath>
      <w:r>
        <w:t xml:space="preserve">) but does not verify: the collapse is milder and its</w:t>
      </w:r>
      <w:r>
        <w:t xml:space="preserve"> </w:t>
      </w:r>
      <w:r>
        <w:rPr>
          <w:rStyle w:val="VerbatimChar"/>
        </w:rPr>
        <w:t xml:space="preserve">api_argorder</w:t>
      </w:r>
      <w:r>
        <w:t xml:space="preserve"> </w:t>
      </w:r>
      <w:r>
        <w:t xml:space="preserve">baseline leaks, both of which we tie to the model-relative value of context</w:t>
      </w:r>
      <w:r>
        <w:t xml:space="preserve"> </w:t>
      </w:r>
      <w:r>
        <w:t xml:space="preserve">in §7.4.4.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Figure 1 shows the collapse across the six models.</w:t>
      </w:r>
    </w:p>
    <w:bookmarkStart w:id="91" w:name="fig:collapse"/>
    <w:tbl>
      <w:tblPr>
        <w:tblStyle w:val="FigureTable"/>
        <w:tblW w:type="auto" w:w="0"/>
        <w:jc w:val="center"/>
        <w:tblLook w:firstRow="0" w:lastRow="0" w:firstColumn="0" w:lastColumn="0"/>
      </w:tblPr>
      <w:tblGrid/>
    </w:tbl>
    <w:p>
      <w:pPr>
        <w:pStyle w:val="ImageCaption"/>
      </w:pPr>
      <w:r>
        <w:t xml:space="preserve">Anti-monotonicity across the capability ladder: PASS on the</w:t>
      </w:r>
      <w:r>
        <w:t xml:space="preserve"> </w:t>
      </w:r>
      <w:r>
        <w:rPr>
          <w:rStyle w:val="VerbatimChar"/>
        </w:rPr>
        <w:t xml:space="preserve">api_post_ok</w:t>
      </w:r>
      <w:r>
        <w:t xml:space="preserve"> </w:t>
      </w:r>
      <w:r>
        <w:t xml:space="preserve">cell</w:t>
      </w:r>
      <w:r>
        <w:t xml:space="preserve"> </w:t>
      </w:r>
      <w:r>
        <w:t xml:space="preserve">under the sufficient source</w:t>
      </w:r>
      <w:r>
        <w:t xml:space="preserve"> </w:t>
      </w:r>
      <m:oMath>
        <m:sSub>
          <m:e>
            <m:r>
              <m:t>W</m:t>
            </m:r>
          </m:e>
          <m:sub>
            <m:r>
              <m:t>1</m:t>
            </m:r>
          </m:sub>
        </m:sSub>
      </m:oMath>
      <w:r>
        <w:t xml:space="preserve"> </w:t>
      </w:r>
      <w:r>
        <w:t xml:space="preserve">(light) versus the strict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(dark), per model (Table 8). The superset</w:t>
      </w:r>
      <w:r>
        <w:t xml:space="preserve"> </w:t>
      </w:r>
      <w:r>
        <w:rPr>
          <w:i/>
          <w:iCs/>
        </w:rPr>
        <w:t xml:space="preserve">contains</w:t>
      </w:r>
      <w:r>
        <w:t xml:space="preserve"> </w:t>
      </w:r>
      <m:oMath>
        <m:sSub>
          <m:e>
            <m:r>
              <m:t>W</m:t>
            </m:r>
          </m:e>
          <m:sub>
            <m:r>
              <m:t>1</m:t>
            </m:r>
          </m:sub>
        </m:sSub>
      </m:oMath>
      <w:r>
        <w:t xml:space="preserve">’s signal yet</w:t>
      </w:r>
      <w:r>
        <w:t xml:space="preserve"> </w:t>
      </w:r>
      <w:r>
        <w:t xml:space="preserve">collapses performance on every model; the effect is large but not monotone in</w:t>
      </w:r>
      <w:r>
        <w:t xml:space="preserve"> </w:t>
      </w:r>
      <w:r>
        <w:t xml:space="preserve">capability (Sonnet collapses hardest, Opus least). All runs single-shot,</w:t>
      </w:r>
      <w:r>
        <w:t xml:space="preserve"> </w:t>
      </w:r>
      <m:oMath>
        <m:r>
          <m:t>n</m:t>
        </m:r>
        <m:r>
          <m:rPr>
            <m:sty m:val="p"/>
          </m:rPr>
          <m:t>=</m:t>
        </m:r>
        <m:r>
          <m:t>40</m:t>
        </m:r>
      </m:oMath>
      <w:r>
        <w:t xml:space="preserve">. Haiku’s</w:t>
      </w:r>
      <w:r>
        <w:t xml:space="preserve"> </w:t>
      </w:r>
      <m:oMath>
        <m:sSub>
          <m:e>
            <m:r>
              <m:t>W</m:t>
            </m:r>
          </m:e>
          <m:sub>
            <m:r>
              <m:t>1</m:t>
            </m:r>
          </m:sub>
        </m:sSub>
      </m:oMath>
      <w:r>
        <w:t xml:space="preserve"> </w:t>
      </w:r>
      <w:r>
        <w:t xml:space="preserve">does not reach ceiling on this cell single-shot (its verified collapse is 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 Table 6); Opus reproduces the collapse but does not verify.</w:t>
      </w:r>
    </w:p>
    <w:bookmarkEnd w:id="91"/>
    <w:bookmarkStart w:id="94"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2).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is developed in a companion paper.</w:t>
      </w:r>
    </w:p>
    <w:bookmarkStart w:id="92"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6)</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92"/>
    <w:bookmarkStart w:id="93" w:name="tab:interference"/>
    <w:p>
      <w:pPr>
        <w:pStyle w:val="TableCaption"/>
      </w:pPr>
      <w:r>
        <w:t xml:space="preserve">Anti-monotonicity (interference) verification on the carrying cell per model.</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oMath>
      <w:r>
        <w:t xml:space="preserve">;</w:t>
      </w:r>
      <w:r>
        <w:t xml:space="preserve"> </w:t>
      </w:r>
      <w:r>
        <w:t xml:space="preserve">“Upper”</w:t>
      </w:r>
      <w:r>
        <w:t xml:space="preserve"> </w:t>
      </w:r>
      <w:r>
        <w:t xml:space="preserve">is the</w:t>
      </w:r>
      <w:r>
        <w:t xml:space="preserve"> </w:t>
      </w:r>
      <m:oMath>
        <m:r>
          <m:t>η</m:t>
        </m:r>
        <m:r>
          <m:rPr>
            <m:sty m:val="p"/>
          </m:rPr>
          <m:t>/</m:t>
        </m:r>
        <m:r>
          <m:t>4</m:t>
        </m:r>
      </m:oMath>
      <w:r>
        <w:t xml:space="preserve"> </w:t>
      </w:r>
      <w:r>
        <w:t xml:space="preserve">Clopper–Pearson upper bound</w:t>
      </w:r>
      <w:r>
        <w:t xml:space="preserve"> </w:t>
      </w:r>
      <m:oMath>
        <m:sSub>
          <m:e>
            <m:bar>
              <m:barPr>
                <m:pos m:val="top"/>
              </m:barPr>
              <m:e>
                <m:r>
                  <m:rPr>
                    <m:sty m:val="p"/>
                  </m:rPr>
                  <m:t>Ψ</m:t>
                </m:r>
              </m:e>
            </m:bar>
          </m:e>
          <m:sub>
            <m:r>
              <m:t>T</m:t>
            </m:r>
          </m:sub>
        </m:sSub>
      </m:oMath>
      <w:r>
        <w:t xml:space="preserve"> </w:t>
      </w:r>
      <w:r>
        <w:t xml:space="preserve">of (7); the cell is verified harmful</w:t>
      </w:r>
      <w:r>
        <w:t xml:space="preserve"> </w:t>
      </w:r>
      <w:r>
        <w:t xml:space="preserve">when Upper</w:t>
      </w:r>
      <w:r>
        <w:t xml:space="preserve"> </w:t>
      </w:r>
      <m:oMath>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The verification clears</w:t>
      </w:r>
      <w:r>
        <w:t xml:space="preserve"> </w:t>
      </w:r>
      <w:r>
        <w:t xml:space="preserve">only on cells whose</w:t>
      </w:r>
      <w:r>
        <w:t xml:space="preserve"> </w:t>
      </w:r>
      <w:r>
        <w:rPr>
          <w:rStyle w:val="VerbatimChar"/>
        </w:rPr>
        <w:t xml:space="preserve">none</w:t>
      </w:r>
      <w:r>
        <w:t xml:space="preserve"> </w:t>
      </w:r>
      <w:r>
        <w:t xml:space="preserve">baseline floors near zero (the leaky-baseline limitation;</w:t>
      </w:r>
      <w:r>
        <w:t xml:space="preserve"> </w:t>
      </w:r>
      <w:r>
        <w:t xml:space="preserve">Remark 5).</w:t>
      </w:r>
    </w:p>
    <w:tbl>
      <w:tblPr>
        <w:tblStyle w:val="Table"/>
        <w:tblW w:type="auto" w:w="0"/>
        <w:tblLook w:firstRow="1" w:lastRow="0" w:firstColumn="0" w:lastColumn="0" w:noHBand="0" w:noVBand="0" w:val="0020"/>
        <w:tblCaption w:val="Anti-monotonicity (interference) verification on the carrying cell per model. \Psi_T =     \mathrm{PASS}(W_{1+}) - \mathrm{PASS}(W_1) - \mathrm{PASS}(W_2) + \mathrm{PASS}(\texttt{none}); “Upper” is the \eta/4 Clopper–Pearson upper bound \overline\Psi_T of (7); the cell is verified harmful when Upper \le -0.30. The W_1 \to W_{1+} column reports the PASS collapse. The verification clears only on cells whose none baseline floors near zero (the leaky-baseline limitation; Remark 5)."/>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Ψ</m:t>
                  </m:r>
                </m:e>
                <m:sub>
                  <m:r>
                    <m:t>T</m:t>
                  </m:r>
                </m:sub>
              </m:sSub>
            </m:oMath>
            <w:r>
              <w:t xml:space="preserve">​</w:t>
            </w:r>
          </w:p>
        </w:tc>
        <w:tc>
          <w:tcPr/>
          <w:p>
            <w:pPr>
              <w:pStyle w:val="Compact"/>
              <w:jc w:val="center"/>
            </w:pPr>
            <w:r>
              <w:t xml:space="preserve">Upper</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0.93</m:t>
              </m:r>
            </m:oMath>
            <w:r>
              <w:t xml:space="preserve">​</w:t>
            </w:r>
          </w:p>
        </w:tc>
        <w:tc>
          <w:tcPr/>
          <w:p>
            <w:pPr>
              <w:pStyle w:val="Compact"/>
              <w:jc w:val="center"/>
            </w:pPr>
            <m:oMath>
              <m:r>
                <m:rPr>
                  <m:sty m:val="p"/>
                </m:rPr>
                <m:t>−</m:t>
              </m:r>
              <m:r>
                <m:t>0.56</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0.08</m:t>
              </m:r>
            </m:oMath>
            <w:r>
              <w:t xml:space="preserve">​</w:t>
            </w:r>
          </w:p>
        </w:tc>
        <w:tc>
          <w:tcPr/>
          <w:p>
            <w:pPr>
              <w:pStyle w:val="Compact"/>
              <w:jc w:val="center"/>
            </w:pPr>
            <w:r>
              <w:t xml:space="preserve">no (low ceiling)</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0.64</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0.60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0.36</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no (milder)</w:t>
            </w:r>
          </w:p>
        </w:tc>
      </w:tr>
    </w:tbl>
    <w:bookmarkEnd w:id="93"/>
    <w:bookmarkEnd w:id="94"/>
    <w:bookmarkStart w:id="95" w:name="Xe149701baef4ebfc0c0660f6732890156a3bb29"/>
    <w:p>
      <w:pPr>
        <w:pStyle w:val="Heading4"/>
      </w:pPr>
      <w:r>
        <w:t xml:space="preserve">The leaky-baseline limitation is a stated protocol.</w:t>
      </w:r>
    </w:p>
    <w:p>
      <w:pPr>
        <w:pStyle w:val="FirstParagraph"/>
      </w:pPr>
      <w:r>
        <w:t xml:space="preserve">The interference upper bound includes the term</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 no-context baseline floors near zero. This is why</w:t>
      </w:r>
      <w:r>
        <w:t xml:space="preserve"> </w:t>
      </w:r>
      <w:r>
        <w:t xml:space="preserve">anti-monotonicity verifies on</w:t>
      </w:r>
      <w:r>
        <w:t xml:space="preserve"> </w:t>
      </w:r>
      <w:r>
        <w:rPr>
          <w:rStyle w:val="VerbatimChar"/>
        </w:rPr>
        <w:t xml:space="preserve">api_argorder</w:t>
      </w:r>
      <w:r>
        <w:t xml:space="preserve"> </w:t>
      </w:r>
      <w:r>
        <w:t xml:space="preserve">for Haiku (</w:t>
      </w:r>
      <w:r>
        <w:rPr>
          <w:rStyle w:val="VerbatimChar"/>
        </w:rPr>
        <w:t xml:space="preserve">none</w:t>
      </w:r>
      <w:r>
        <w:t xml:space="preserve"> </w:t>
      </w:r>
      <m:oMath>
        <m:r>
          <m:rPr>
            <m:sty m:val="p"/>
          </m:rPr>
          <m:t>=</m:t>
        </m:r>
        <m:r>
          <m:t>2</m:t>
        </m:r>
        <m:r>
          <m:rPr>
            <m:sty m:val="p"/>
          </m:rPr>
          <m:t>%</m:t>
        </m:r>
      </m:oMath>
      <w:r>
        <w:t xml:space="preserve">,</w:t>
      </w:r>
      <w:r>
        <w:t xml:space="preserve"> </w:t>
      </w:r>
      <m:oMath>
        <m:sSub>
          <m:e>
            <m:r>
              <m:t>W</m:t>
            </m:r>
          </m:e>
          <m:sub>
            <m:r>
              <m:t>1</m:t>
            </m:r>
          </m:sub>
        </m:sSub>
      </m:oMath>
      <w:r>
        <w:t xml:space="preserve"> </w:t>
      </w:r>
      <m:oMath>
        <m:r>
          <m:t>100</m:t>
        </m:r>
        <m:r>
          <m:rPr>
            <m:sty m:val="p"/>
          </m:rPr>
          <m:t>%</m:t>
        </m:r>
      </m:oMath>
      <w:r>
        <w:t xml:space="preserve">)</w:t>
      </w:r>
      <w:r>
        <w:t xml:space="preserve"> </w:t>
      </w:r>
      <w:r>
        <w:t xml:space="preserve">and Sonnet (</w:t>
      </w:r>
      <w:r>
        <w:rPr>
          <w:rStyle w:val="VerbatimChar"/>
        </w:rPr>
        <w:t xml:space="preserve">none</w:t>
      </w:r>
      <w:r>
        <w:t xml:space="preserve"> </w:t>
      </w:r>
      <m:oMath>
        <m:r>
          <m:rPr>
            <m:sty m:val="p"/>
          </m:rPr>
          <m:t>=</m:t>
        </m:r>
        <m:r>
          <m:t>0</m:t>
        </m:r>
        <m:r>
          <m:rPr>
            <m:sty m:val="p"/>
          </m:rPr>
          <m:t>%</m:t>
        </m:r>
      </m:oMath>
      <w:r>
        <w:t xml:space="preserve">) but not for GPT-5.5 (</w:t>
      </w:r>
      <w:r>
        <w:rPr>
          <w:rStyle w:val="VerbatimChar"/>
        </w:rPr>
        <w:t xml:space="preserve">none</w:t>
      </w:r>
      <w:r>
        <w:t xml:space="preserve"> </w:t>
      </w:r>
      <m:oMath>
        <m:r>
          <m:rPr>
            <m:sty m:val="p"/>
          </m:rPr>
          <m:t>=</m:t>
        </m:r>
        <m:r>
          <m:t>75</m:t>
        </m:r>
        <m:r>
          <m:rPr>
            <m:sty m:val="p"/>
          </m:rPr>
          <m:t>%</m:t>
        </m:r>
      </m:oMath>
      <w:r>
        <w:t xml:space="preserve">), Kimi (</w:t>
      </w:r>
      <m:oMath>
        <m:r>
          <m:t>45</m:t>
        </m:r>
        <m:r>
          <m:rPr>
            <m:sty m:val="p"/>
          </m:rPr>
          <m:t>%</m:t>
        </m:r>
      </m:oMath>
      <w:r>
        <w:t xml:space="preserve">), or Opus</w:t>
      </w:r>
      <w:r>
        <w:t xml:space="preserve"> </w:t>
      </w:r>
      <w:r>
        <w:t xml:space="preserve">(</w:t>
      </w:r>
      <m:oMath>
        <m:r>
          <m:t>40</m:t>
        </m:r>
        <m:r>
          <m:rPr>
            <m:sty m:val="p"/>
          </m:rPr>
          <m:t>%</m:t>
        </m:r>
      </m:oMath>
      <w:r>
        <w:t xml:space="preserve">), where a non-zero baseline mechanically shrinks</w:t>
      </w:r>
      <w:r>
        <w:t xml:space="preserve"> </w:t>
      </w:r>
      <m:oMath>
        <m:sSub>
          <m:e>
            <m:r>
              <m:rPr>
                <m:sty m:val="p"/>
              </m:rPr>
              <m:t>Ψ</m:t>
            </m:r>
          </m:e>
          <m:sub>
            <m:r>
              <m:t>T</m:t>
            </m:r>
          </m:sub>
        </m:sSub>
      </m:oMath>
      <w:r>
        <w:t xml:space="preserve">’s verifiable magnitude. We state</w:t>
      </w:r>
      <w:r>
        <w:t xml:space="preserve"> </w:t>
      </w:r>
      <w:r>
        <w:t xml:space="preserve">this as a protocol up front (Remark 5): we verify anti-monotonicity only on cells whose</w:t>
      </w:r>
      <w:r>
        <w:t xml:space="preserve"> </w:t>
      </w:r>
      <w:r>
        <w:rPr>
          <w:rStyle w:val="VerbatimChar"/>
        </w:rPr>
        <w:t xml:space="preserve">none</w:t>
      </w:r>
      <w:r>
        <w:t xml:space="preserve"> </w:t>
      </w:r>
      <w:r>
        <w:t xml:space="preserve">baseline floors near zero. Table 6 reports, per model, which cell</w:t>
      </w:r>
      <w:r>
        <w:t xml:space="preserve"> </w:t>
      </w:r>
      <w:r>
        <w:t xml:space="preserve">carried the verification and its 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Ψ</m:t>
            </m:r>
          </m:e>
          <m:sub>
            <m:r>
              <m:t>T</m:t>
            </m:r>
          </m:sub>
        </m:sSub>
        <m:r>
          <m:rPr>
            <m:sty m:val="p"/>
          </m:rPr>
          <m:t>=</m:t>
        </m:r>
        <m:r>
          <m:rPr>
            <m:sty m:val="p"/>
          </m:rPr>
          <m:t>−</m:t>
        </m:r>
        <m:r>
          <m:t>0.75</m:t>
        </m:r>
      </m:oMath>
      <w:r>
        <w:t xml:space="preserve"> </w:t>
      </w:r>
      <w:r>
        <w:t xml:space="preserve">starts</w:t>
      </w:r>
      <w:r>
        <w:t xml:space="preserve"> </w:t>
      </w:r>
      <w:r>
        <w:t xml:space="preserve">from a 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5"/>
    <w:bookmarkStart w:id="96"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6"/>
    <w:bookmarkStart w:id="97"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7"/>
    <w:bookmarkStart w:id="98"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98"/>
    <w:bookmarkEnd w:id="99"/>
    <w:bookmarkStart w:id="102"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Figure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100" w:name="fig:spectrum"/>
    <w:tbl>
      <w:tblPr>
        <w:tblStyle w:val="FigureTable"/>
        <w:tblW w:type="auto" w:w="0"/>
        <w:jc w:val="center"/>
        <w:tblLook w:firstRow="0" w:lastRow="0" w:firstColumn="0" w:lastColumn="0"/>
      </w:tblPr>
      <w:tblGrid/>
    </w:tbl>
    <w:p>
      <w:pPr>
        <w:pStyle w:val="ImageCaption"/>
      </w:pPr>
      <w:r>
        <w:t xml:space="preserve">The model-relative value of private context as a spectrum: how often each model reproduces</w:t>
      </w:r>
      <w:r>
        <w:t xml:space="preserve"> </w:t>
      </w:r>
      <w:r>
        <w:t xml:space="preserve">the private convention with</w:t>
      </w:r>
      <w:r>
        <w:t xml:space="preserve"> </w:t>
      </w:r>
      <w:r>
        <w:rPr>
          <w:i/>
          <w:iCs/>
        </w:rPr>
        <w:t xml:space="preserve">no</w:t>
      </w:r>
      <w:r>
        <w:t xml:space="preserve"> </w:t>
      </w:r>
      <w:r>
        <w:t xml:space="preserve">context supplied (</w:t>
      </w:r>
      <w:r>
        <w:rPr>
          <w:rStyle w:val="VerbatimChar"/>
        </w:rPr>
        <w:t xml:space="preserve">none</w:t>
      </w:r>
      <w:r>
        <w:t xml:space="preserve"> </w:t>
      </w:r>
      <w:r>
        <w:t xml:space="preserve">arm,</w:t>
      </w:r>
      <w:r>
        <w:t xml:space="preserve"> </w:t>
      </w:r>
      <w:r>
        <w:rPr>
          <w:rStyle w:val="VerbatimChar"/>
        </w:rPr>
        <w:t xml:space="preserve">api_argorder</w:t>
      </w:r>
      <w:r>
        <w:t xml:space="preserve">).</w:t>
      </w:r>
      <w:r>
        <w:t xml:space="preserve"> </w:t>
      </w:r>
      <w:r>
        <w:t xml:space="preserve">The value of the same fixed source</w:t>
      </w:r>
      <w:r>
        <w:t xml:space="preserve"> </w:t>
      </w:r>
      <m:oMath>
        <m:sSub>
          <m:e>
            <m:r>
              <m:t>W</m:t>
            </m:r>
          </m:e>
          <m:sub>
            <m:r>
              <m:t>1</m:t>
            </m:r>
          </m:sub>
        </m:sSub>
      </m:oMath>
      <w:r>
        <w:t xml:space="preserve"> </w:t>
      </w:r>
      <w:r>
        <w:t xml:space="preserve">ranges from maximal (Sonnet, Haiku, DeepSeek: essentially</w:t>
      </w:r>
      <w:r>
        <w:t xml:space="preserve"> </w:t>
      </w:r>
      <w:r>
        <w:t xml:space="preserve">unguessable) to largely pre-priced-in (GPT-5.5:</w:t>
      </w:r>
      <w:r>
        <w:t xml:space="preserve"> </w:t>
      </w:r>
      <m:oMath>
        <m:r>
          <m:t>75</m:t>
        </m:r>
        <m:r>
          <m:rPr>
            <m:sty m:val="p"/>
          </m:rPr>
          <m:t>%</m:t>
        </m:r>
      </m:oMath>
      <w:r>
        <w:t xml:space="preserve"> </w:t>
      </w:r>
      <w:r>
        <w:t xml:space="preserve">guessed), and the ordering tracks vendor</w:t>
      </w:r>
      <w:r>
        <w:t xml:space="preserve"> </w:t>
      </w:r>
      <w:r>
        <w:t xml:space="preserve">training rather than capability, DeepSeek sits with the smaller Claude models despite being a</w:t>
      </w:r>
      <w:r>
        <w:t xml:space="preserve"> </w:t>
      </w:r>
      <w:r>
        <w:t xml:space="preserve">different vendor, and Opus (the strongest Anthropic model) guesses more than Sonnet.</w:t>
      </w:r>
    </w:p>
    <w:bookmarkEnd w:id="100"/>
    <w:bookmarkStart w:id="101" w:name="auditable-per-cell-record."/>
    <w:p>
      <w:pPr>
        <w:pStyle w:val="Heading4"/>
      </w:pPr>
      <w:r>
        <w:t xml:space="preserve">Auditable per-cell record.</w:t>
      </w:r>
    </w:p>
    <w:p>
      <w:pPr>
        <w:pStyle w:val="FirstParagraph"/>
      </w:pPr>
      <w:r>
        <w:t xml:space="preserve">The full per-arm PASS record for every carrying cell is Table 8 in Appendix B, so each verification can be reconstructed from the reported counts.</w:t>
      </w:r>
    </w:p>
    <w:bookmarkEnd w:id="101"/>
    <w:bookmarkEnd w:id="102"/>
    <w:bookmarkEnd w:id="103"/>
    <w:bookmarkStart w:id="104"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interference is verified in sign (</w:t>
      </w:r>
      <m:oMath>
        <m:sSub>
          <m:e>
            <m:r>
              <m:rPr>
                <m:sty m:val="p"/>
              </m:rPr>
              <m:t>Ψ</m:t>
            </m:r>
          </m:e>
          <m:sub>
            <m:r>
              <m:t>T</m:t>
            </m:r>
          </m:sub>
        </m:sSub>
        <m:r>
          <m:rPr>
            <m:sty m:val="p"/>
          </m:rPr>
          <m:t>&lt;</m:t>
        </m:r>
        <m:r>
          <m:t>0</m:t>
        </m:r>
      </m:oMath>
      <w:r>
        <w:t xml:space="preserve">, upper bound</w:t>
      </w:r>
      <w:r>
        <w:t xml:space="preserve"> </w:t>
      </w:r>
      <m:oMath>
        <m:r>
          <m:rPr>
            <m:sty m:val="p"/>
          </m:rPr>
          <m:t>−</m:t>
        </m:r>
        <m:r>
          <m:t>0.21</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four-term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interference verified, upper</w:t>
      </w:r>
      <w:r>
        <w:t xml:space="preserve"> </w:t>
      </w:r>
      <m:oMath>
        <m:r>
          <m:rPr>
            <m:sty m:val="p"/>
          </m:rPr>
          <m:t>−</m:t>
        </m:r>
        <m:r>
          <m:t>0.41</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End w:id="104"/>
    <w:bookmarkStart w:id="106"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8);</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Front</w:t>
      </w:r>
      <w:r>
        <w:rPr>
          <w:i/>
          <w:iCs/>
        </w:rPr>
        <w:t xml:space="preserve"> </w:t>
      </w:r>
      <m:oMath>
        <m:r>
          <m:rPr>
            <m:sty m:val="p"/>
          </m:rPr>
          <m:t>+</m:t>
        </m:r>
      </m:oMath>
      <w:r>
        <w:rPr>
          <w:i/>
          <w:iCs/>
        </w:rPr>
        <w:t xml:space="preserve"> </w:t>
      </w:r>
      <w:r>
        <w:rPr>
          <w:i/>
          <w:iCs/>
        </w:rPr>
        <w:t xml:space="preserve">routing</w:t>
      </w:r>
      <w:r>
        <w:t xml:space="preserve"> </w:t>
      </w:r>
      <w:r>
        <w:t xml:space="preserve">keeps the verified non-dominated set</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and routes by task</w:t>
      </w:r>
      <w:r>
        <w:t xml:space="preserve"> </w:t>
      </w:r>
      <w:r>
        <w:t xml:space="preserve">family, attaining the per-cell maximum of the two sources; this is what the partial order licenses,</w:t>
      </w:r>
      <w:r>
        <w:t xml:space="preserve"> </w:t>
      </w:r>
      <w:r>
        <w:t xml:space="preserve">and its price is exactly one probe’s worth of knowledge, namely which source is decisive for which</w:t>
      </w:r>
      <w:r>
        <w:t xml:space="preserve"> </w:t>
      </w:r>
      <w:r>
        <w:t xml:space="preserve">family.</w:t>
      </w:r>
    </w:p>
    <w:bookmarkStart w:id="105" w:name="tab:policies"/>
    <w:p>
      <w:pPr>
        <w:pStyle w:val="TableCaption"/>
      </w:pPr>
      <w:r>
        <w:t xml:space="preserve">Mean PASS (%) over the four verified cells under four selection policies, per model,</w:t>
      </w:r>
      <w:r>
        <w:t xml:space="preserve"> </w:t>
      </w:r>
      <w:r>
        <w:t xml:space="preserve">computed from the measured per-cell rates of Table 8. The front-and-routing column</w:t>
      </w:r>
      <w:r>
        <w:t xml:space="preserve"> </w:t>
      </w:r>
      <w:r>
        <w:t xml:space="preserve">is the per-cell maximum 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and is therefore the ceiling of</w:t>
      </w:r>
      <w:r>
        <w:t xml:space="preserve"> </w:t>
      </w:r>
      <w:r>
        <w:rPr>
          <w:i/>
          <w:iCs/>
        </w:rPr>
        <w:t xml:space="preserve">any</w:t>
      </w:r>
      <w:r>
        <w:t xml:space="preserve"> </w:t>
      </w:r>
      <w:r>
        <w:t xml:space="preserve">selection</w:t>
      </w:r>
      <w:r>
        <w:t xml:space="preserve"> </w:t>
      </w:r>
      <w:r>
        <w:t xml:space="preserve">policy on these cells; its remaining gap to</w:t>
      </w:r>
      <w:r>
        <w:t xml:space="preserve"> </w:t>
      </w:r>
      <m:oMath>
        <m:r>
          <m:t>100</m:t>
        </m:r>
        <m:r>
          <m:rPr>
            <m:sty m:val="p"/>
          </m:rPr>
          <m:t>%</m:t>
        </m:r>
      </m:oMath>
      <w:r>
        <w:t xml:space="preserve"> </w:t>
      </w:r>
      <w:r>
        <w:t xml:space="preserve">is model capability, not selection error.</w:t>
      </w:r>
    </w:p>
    <w:tbl>
      <w:tblPr>
        <w:tblStyle w:val="Table"/>
        <w:tblW w:type="auto" w:w="0"/>
        <w:tblLook w:firstRow="1" w:lastRow="0" w:firstColumn="0" w:lastColumn="0" w:noHBand="0" w:noVBand="0" w:val="0020"/>
        <w:tblCaption w:val="Mean PASS (%) over the four verified cells under four selection policies, per model, computed from the measured per-cell rates of Table 8. The front-and-routing column is the per-cell maximum of W_1 and W_2 and is therefore the ceiling of any selection policy on these cells; its remaining gap to 100\% is model capability, not selection error."/>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Front</w:t>
            </w:r>
            <w:r>
              <w:t xml:space="preserve"> </w:t>
            </w:r>
            <m:oMath>
              <m:r>
                <m:rPr>
                  <m:sty m:val="p"/>
                </m:rPr>
                <m:t>+</m:t>
              </m:r>
            </m:oMath>
            <w:r>
              <w:t xml:space="preserve"> </w:t>
            </w:r>
            <w:r>
              <w:t xml:space="preserve">routing</w:t>
            </w:r>
          </w:p>
        </w:tc>
      </w:tr>
      <w:tr>
        <w:tc>
          <w:tcPr/>
          <w:p>
            <w:pPr>
              <w:pStyle w:val="Compact"/>
              <w:jc w:val="left"/>
            </w:pPr>
            <w:r>
              <w:t xml:space="preserve">Haiku-4.5</w:t>
            </w:r>
          </w:p>
        </w:tc>
        <w:tc>
          <w:tcPr/>
          <w:p>
            <w:pPr>
              <w:pStyle w:val="Compact"/>
              <w:jc w:val="center"/>
            </w:pPr>
            <w:r>
              <w:t xml:space="preserve">60.5</w:t>
            </w:r>
          </w:p>
        </w:tc>
        <w:tc>
          <w:tcPr/>
          <w:p>
            <w:pPr>
              <w:pStyle w:val="Compact"/>
              <w:jc w:val="center"/>
            </w:pPr>
            <w:r>
              <w:t xml:space="preserve">63.0</w:t>
            </w:r>
          </w:p>
        </w:tc>
        <w:tc>
          <w:tcPr/>
          <w:p>
            <w:pPr>
              <w:pStyle w:val="Compact"/>
              <w:jc w:val="center"/>
            </w:pPr>
            <w:r>
              <w:t xml:space="preserve">53.0</w:t>
            </w:r>
          </w:p>
        </w:tc>
        <w:tc>
          <w:tcPr/>
          <w:p>
            <w:pPr>
              <w:pStyle w:val="Compact"/>
              <w:jc w:val="center"/>
            </w:pPr>
            <w:r>
              <w:rPr>
                <w:b/>
                <w:bCs/>
              </w:rPr>
              <w:t xml:space="preserve">85.5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36.8</w:t>
            </w:r>
          </w:p>
        </w:tc>
        <w:tc>
          <w:tcPr/>
          <w:p>
            <w:pPr>
              <w:pStyle w:val="Compact"/>
              <w:jc w:val="center"/>
            </w:pPr>
            <w:r>
              <w:rPr>
                <w:b/>
                <w:bCs/>
              </w:rPr>
              <w:t xml:space="preserve">99.5</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59.5</w:t>
            </w:r>
          </w:p>
        </w:tc>
        <w:tc>
          <w:tcPr/>
          <w:p>
            <w:pPr>
              <w:pStyle w:val="Compact"/>
              <w:jc w:val="center"/>
            </w:pPr>
            <w:r>
              <w:rPr>
                <w:b/>
                <w:bCs/>
              </w:rPr>
              <w:t xml:space="preserve">99.5</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60.3</w:t>
            </w:r>
          </w:p>
        </w:tc>
        <w:tc>
          <w:tcPr/>
          <w:p>
            <w:pPr>
              <w:pStyle w:val="Compact"/>
              <w:jc w:val="center"/>
            </w:pPr>
            <w:r>
              <w:t xml:space="preserve">52.8</w:t>
            </w:r>
          </w:p>
        </w:tc>
        <w:tc>
          <w:tcPr/>
          <w:p>
            <w:pPr>
              <w:pStyle w:val="Compact"/>
              <w:jc w:val="center"/>
            </w:pPr>
            <w:r>
              <w:t xml:space="preserve">42.0</w:t>
            </w:r>
          </w:p>
        </w:tc>
        <w:tc>
          <w:tcPr/>
          <w:p>
            <w:pPr>
              <w:pStyle w:val="Compact"/>
              <w:jc w:val="center"/>
            </w:pPr>
            <w:r>
              <w:rPr>
                <w:b/>
                <w:bCs/>
              </w:rPr>
              <w:t xml:space="preserve">77.3</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48.0</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93.4</w:t>
            </w:r>
          </w:p>
        </w:tc>
      </w:tr>
    </w:tbl>
    <w:bookmarkEnd w:id="105"/>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front column shows what selection</w:t>
      </w:r>
      <w:r>
        <w:t xml:space="preserve"> </w:t>
      </w:r>
      <w:r>
        <w:t xml:space="preserve">alone can recover: its shortfall from</w:t>
      </w:r>
      <w:r>
        <w:t xml:space="preserve"> </w:t>
      </w:r>
      <m:oMath>
        <m:r>
          <m:t>100</m:t>
        </m:r>
        <m:r>
          <m:rPr>
            <m:sty m:val="p"/>
          </m:rPr>
          <m:t>%</m:t>
        </m:r>
      </m:oMath>
      <w:r>
        <w:t xml:space="preserve"> </w:t>
      </w:r>
      <w:r>
        <w:t xml:space="preserve">(Haiku’s</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w:t>
      </w:r>
      <w:r>
        <w:t xml:space="preserve"> </w:t>
      </w:r>
      <w:r>
        <w:t xml:space="preserve">DeepSeek’s</w:t>
      </w:r>
      <w:r>
        <w:t xml:space="preserve"> </w:t>
      </w:r>
      <m:oMath>
        <m:r>
          <m:t>68</m:t>
        </m:r>
      </m:oMath>
      <w:r>
        <w:t xml:space="preserve">–</w:t>
      </w:r>
      <m:oMath>
        <m:r>
          <m:t>75</m:t>
        </m:r>
        <m:r>
          <m:rPr>
            <m:sty m:val="p"/>
          </m:rPr>
          <m:t>%</m:t>
        </m:r>
      </m:oMath>
      <w:r>
        <w:t xml:space="preserve"> </w:t>
      </w:r>
      <w:r>
        <w:t xml:space="preserve">band) is the model’s own capability limit.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End w:id="106"/>
    <w:bookmarkEnd w:id="107"/>
    <w:bookmarkStart w:id="124"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8" w:name="sec:disc-tradeoffs"/>
    <w:p>
      <w:pPr>
        <w:pStyle w:val="Heading2"/>
      </w:pPr>
      <w:r>
        <w:t xml:space="preserve">What the approach buys, and what it costs</w:t>
      </w:r>
    </w:p>
    <w:p>
      <w:pPr>
        <w:pStyle w:val="FirstParagraph"/>
      </w:pPr>
      <w:r>
        <w:t xml:space="preserve">Consolidating the comparison that runs through the paper: relative to the alternatives of</w:t>
      </w:r>
      <w:r>
        <w:t xml:space="preserve"> </w:t>
      </w:r>
      <w:r>
        <w:t xml:space="preserve">Table 2, the approach buys four things none of them provides. (i) A</w:t>
      </w:r>
      <w:r>
        <w:t xml:space="preserve"> </w:t>
      </w:r>
      <w:r>
        <w:rPr>
          <w:i/>
          <w:iCs/>
        </w:rPr>
        <w:t xml:space="preserve">diagnosis</w:t>
      </w:r>
      <w:r>
        <w:t xml:space="preserve">: incomparability and interference become named, testable properties rather than</w:t>
      </w:r>
      <w:r>
        <w:t xml:space="preserve"> </w:t>
      </w:r>
      <w:r>
        <w:t xml:space="preserve">anecdotes about</w:t>
      </w:r>
      <w:r>
        <w:t xml:space="preserve"> </w:t>
      </w:r>
      <w:r>
        <w:t xml:space="preserve">“context sometimes hurting.”</w:t>
      </w:r>
      <w:r>
        <w:t xml:space="preserve"> </w:t>
      </w:r>
      <w:r>
        <w:t xml:space="preserve">(ii)</w:t>
      </w:r>
      <w:r>
        <w:t xml:space="preserve"> </w:t>
      </w:r>
      <w:r>
        <w:rPr>
          <w:i/>
          <w:iCs/>
        </w:rPr>
        <w:t xml:space="preserve">Distribution-free finite-sample</w:t>
      </w:r>
      <w:r>
        <w:rPr>
          <w:i/>
          <w:iCs/>
        </w:rPr>
        <w:t xml:space="preserve"> </w:t>
      </w:r>
      <w:r>
        <w:rPr>
          <w:i/>
          <w:iCs/>
        </w:rPr>
        <w:t xml:space="preserve">verification</w:t>
      </w:r>
      <w:r>
        <w:t xml:space="preserve"> </w:t>
      </w:r>
      <w:r>
        <w:t xml:space="preserve">on live black-box models: exact intervals and multiplicity control, with no training</w:t>
      </w:r>
      <w:r>
        <w:t xml:space="preserve"> </w:t>
      </w:r>
      <w:r>
        <w:t xml:space="preserve">and no white-box access. (iii)</w:t>
      </w:r>
      <w:r>
        <w:t xml:space="preserve"> </w:t>
      </w:r>
      <w:r>
        <w:rPr>
          <w:i/>
          <w:iCs/>
        </w:rPr>
        <w:t xml:space="preserve">Model-relative measurement</w:t>
      </w:r>
      <w:r>
        <w:t xml:space="preserve">: the same protocol re-run on any</w:t>
      </w:r>
      <w:r>
        <w:t xml:space="preserve"> </w:t>
      </w:r>
      <w:r>
        <w:t xml:space="preserve">stack answers whether</w:t>
      </w:r>
      <w:r>
        <w:t xml:space="preserve"> </w:t>
      </w:r>
      <w:r>
        <w:rPr>
          <w:i/>
          <w:iCs/>
        </w:rPr>
        <w:t xml:space="preserve">your</w:t>
      </w:r>
      <w:r>
        <w:t xml:space="preserve"> </w:t>
      </w:r>
      <w:r>
        <w:t xml:space="preserve">model has this structure on</w:t>
      </w:r>
      <w:r>
        <w:t xml:space="preserve"> </w:t>
      </w:r>
      <w:r>
        <w:rPr>
          <w:i/>
          <w:iCs/>
        </w:rPr>
        <w:t xml:space="preserve">your</w:t>
      </w:r>
      <w:r>
        <w:t xml:space="preserve"> </w:t>
      </w:r>
      <w:r>
        <w:t xml:space="preserve">sources, including the</w:t>
      </w:r>
      <w:r>
        <w:t xml:space="preserve"> </w:t>
      </w:r>
      <w:r>
        <w:t xml:space="preserve">scalar-suffices answer when sources are nested. (iv) A</w:t>
      </w:r>
      <w:r>
        <w:t xml:space="preserve"> </w:t>
      </w:r>
      <w:r>
        <w:rPr>
          <w:i/>
          <w:iCs/>
        </w:rPr>
        <w:t xml:space="preserve">selection ceiling</w:t>
      </w:r>
      <w:r>
        <w:t xml:space="preserve">: the non-dominated</w:t>
      </w:r>
      <w:r>
        <w:t xml:space="preserve"> </w:t>
      </w:r>
      <w:r>
        <w:t xml:space="preserve">front attains the per-cell maximum of its members (Table 7), bounding what any</w:t>
      </w:r>
      <w:r>
        <w:t xml:space="preserve"> </w:t>
      </w:r>
      <w:r>
        <w:t xml:space="preserve">selection policy can recover and separating selection error from model capability. The costs are</w:t>
      </w:r>
      <w:r>
        <w:t xml:space="preserve"> </w:t>
      </w:r>
      <w:r>
        <w:t xml:space="preserve">equally concrete. Verification is bought with probe runs, so the method lives at curation scale, a</w:t>
      </w:r>
      <w:r>
        <w:t xml:space="preserve"> </w:t>
      </w:r>
      <w:r>
        <w:t xml:space="preserve">reranked shortlist or an offline context library, not corpus scale (§8.6). The</w:t>
      </w:r>
      <w:r>
        <w:t xml:space="preserve"> </w:t>
      </w:r>
      <w:r>
        <w:t xml:space="preserve">verified cells are constructed to make the structure visible, so the magnitudes are diagnostic, not</w:t>
      </w:r>
      <w:r>
        <w:t xml:space="preserve"> </w:t>
      </w:r>
      <w:r>
        <w:t xml:space="preserve">production estimates. And the guarantees are existential and model-relative: they establish that</w:t>
      </w:r>
      <w:r>
        <w:t xml:space="preserve"> </w:t>
      </w:r>
      <w:r>
        <w:t xml:space="preserve">the partial order is real and consequential where verified, not that every source pair in the wild</w:t>
      </w:r>
      <w:r>
        <w:t xml:space="preserve"> </w:t>
      </w:r>
      <w:r>
        <w:t xml:space="preserve">is incomparable. In exchange, the practitioner gets what the cheap alternatives cannot give: a</w:t>
      </w:r>
      <w:r>
        <w:t xml:space="preserve"> </w:t>
      </w:r>
      <w:r>
        <w:t xml:space="preserve">claim about their own system that is checked rather than assumed.</w:t>
      </w:r>
    </w:p>
    <w:bookmarkEnd w:id="108"/>
    <w:bookmarkStart w:id="111" w:name="sec:disc-bridge"/>
    <w:p>
      <w:pPr>
        <w:pStyle w:val="Heading2"/>
      </w:pPr>
      <w:r>
        <w:t xml:space="preserve">Scope of the claims</w:t>
      </w:r>
    </w:p>
    <w:p>
      <w:pPr>
        <w:pStyle w:val="FirstParagraph"/>
      </w:pPr>
      <w:bookmarkStart w:id="109" w:name="sec:disc-deficiency"/>
      <w:bookmarkEnd w:id="109"/>
      <w:bookmarkStart w:id="110" w:name="sec:disc-certificate"/>
      <w:bookmarkEnd w:id="110"/>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4).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11"/>
    <w:bookmarkStart w:id="113" w:name="sec:disc-antimono"/>
    <w:p>
      <w:pPr>
        <w:pStyle w:val="Heading2"/>
      </w:pPr>
      <w:r>
        <w:t xml:space="preserve">Anti-monotonicity is real, verified, but not capability-ordered</w:t>
      </w:r>
    </w:p>
    <w:p>
      <w:pPr>
        <w:pStyle w:val="FirstParagraph"/>
      </w:pPr>
      <w:r>
        <w:t xml:space="preserve">The interference object</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ty m:val="p"/>
          </m:rPr>
          <m:t>none</m:t>
        </m:r>
        <m:r>
          <m:rPr>
            <m:sty m:val="p"/>
          </m:rPr>
          <m:t>,</m:t>
        </m:r>
        <m:r>
          <m:t>T</m:t>
        </m:r>
        <m:r>
          <m:rPr>
            <m:sty m:val="p"/>
          </m:rPr>
          <m:t>)</m:t>
        </m:r>
      </m:oMath>
      <w:r>
        <w:t xml:space="preserve"> </w:t>
      </w:r>
      <w:r>
        <w:t xml:space="preserve">measures 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harms</w:t>
      </w:r>
      <w:r>
        <w:t xml:space="preserve"> </w:t>
      </w:r>
      <w:r>
        <w:t xml:space="preserve">performance. We verify</w:t>
      </w:r>
      <w:r>
        <w:t xml:space="preserve"> </w:t>
      </w:r>
      <m:oMath>
        <m:sSub>
          <m:e>
            <m:r>
              <m:rPr>
                <m:sty m:val="p"/>
              </m:rPr>
              <m:t>Ψ</m:t>
            </m:r>
          </m:e>
          <m:sub>
            <m:r>
              <m:t>T</m:t>
            </m:r>
          </m:sub>
        </m:sSub>
        <m:r>
          <m:rPr>
            <m:sty m:val="p"/>
          </m:rPr>
          <m:t>≤</m:t>
        </m:r>
        <m:r>
          <m:rPr>
            <m:sty m:val="p"/>
          </m:rPr>
          <m:t>−</m:t>
        </m:r>
        <m:r>
          <m:t>0.30</m:t>
        </m:r>
      </m:oMath>
      <w:r>
        <w:t xml:space="preserve"> </w:t>
      </w:r>
      <w:r>
        <w:t xml:space="preserve">on at least one cell for five of six models</w:t>
      </w:r>
      <w:r>
        <w:t xml:space="preserve"> </w:t>
      </w:r>
      <w:r>
        <w:t xml:space="preserve">(Table 6), with collapses as stark as</w:t>
      </w:r>
      <w:r>
        <w:t xml:space="preserve"> </w:t>
      </w:r>
      <m:oMath>
        <m:r>
          <m:t>100</m:t>
        </m:r>
        <m:r>
          <m:rPr>
            <m:sty m:val="p"/>
          </m:rPr>
          <m:t>%</m:t>
        </m:r>
        <m:r>
          <m:rPr>
            <m:sty m:val="p"/>
          </m:rPr>
          <m:t>→</m:t>
        </m:r>
        <m:r>
          <m:t>0</m:t>
        </m:r>
        <m:r>
          <m:rPr>
            <m:sty m:val="p"/>
          </m:rPr>
          <m:t>%</m:t>
        </m:r>
      </m:oMath>
      <w:r>
        <w:t xml:space="preserve"> </w:t>
      </w:r>
      <w:r>
        <w:t xml:space="preserve">(</w:t>
      </w:r>
      <m:oMath>
        <m:sSub>
          <m:e>
            <m:r>
              <m:rPr>
                <m:sty m:val="p"/>
              </m:rPr>
              <m:t>Ψ</m:t>
            </m:r>
          </m:e>
          <m:sub>
            <m:r>
              <m:t>T</m:t>
            </m:r>
          </m:sub>
        </m:sSub>
        <m:r>
          <m:rPr>
            <m:sty m:val="p"/>
          </m:rPr>
          <m:t>=</m:t>
        </m:r>
        <m:r>
          <m:rPr>
            <m:sty m:val="p"/>
          </m:rPr>
          <m:t>−</m:t>
        </m:r>
        <m:r>
          <m:t>1.00</m:t>
        </m:r>
      </m:oMath>
      <w:r>
        <w:t xml:space="preserve">, upper</w:t>
      </w:r>
      <w:r>
        <w:t xml:space="preserve"> </w:t>
      </w:r>
      <w:r>
        <w:t xml:space="preserve">bound</w:t>
      </w:r>
      <w:r>
        <w:t xml:space="preserve"> </w:t>
      </w:r>
      <m:oMath>
        <m:r>
          <m:rPr>
            <m:sty m:val="p"/>
          </m:rPr>
          <m:t>−</m:t>
        </m:r>
        <m:r>
          <m:t>0.69</m:t>
        </m:r>
      </m:oMath>
      <w:r>
        <w:t xml:space="preserve">) on Sonnet and Kimi. This is a verified empirical falsification of</w:t>
      </w:r>
      <w:r>
        <w:t xml:space="preserve"> </w:t>
      </w:r>
      <w:r>
        <w:t xml:space="preserve">superset-dominance for these fixed rules (Theorem 3): a literal superset of a</w:t>
      </w:r>
      <w:r>
        <w:t xml:space="preserve"> </w:t>
      </w:r>
      <w:r>
        <w:t xml:space="preserve">sufficient signal can sharply reduce PASS, which no monotone-submodular scalar context-value score can</w:t>
      </w:r>
      <w:r>
        <w:t xml:space="preserve"> </w:t>
      </w:r>
      <w:r>
        <w:t xml:space="preserve">represent.</w:t>
      </w:r>
    </w:p>
    <w:p>
      <w:pPr>
        <w:pStyle w:val="BodyText"/>
      </w:pPr>
      <w:r>
        <w:t xml:space="preserve">Two corrections follow from the data.</w:t>
      </w:r>
      <w:r>
        <w:t xml:space="preserve"> </w:t>
      </w:r>
      <w:r>
        <w:rPr>
          <w:b/>
          <w:bCs/>
        </w:rPr>
        <w:t xml:space="preserve">(i) The harm is not monotone in</w:t>
      </w:r>
      <w:r>
        <w:rPr>
          <w:b/>
          <w:bCs/>
        </w:rPr>
        <w:t xml:space="preserve"> </w:t>
      </w:r>
      <w:r>
        <w:rPr>
          <w:b/>
          <w:bCs/>
        </w:rPr>
        <w:t xml:space="preserve">capability.</w:t>
      </w:r>
      <w:r>
        <w:t xml:space="preserve"> </w:t>
      </w:r>
      <w:r>
        <w:t xml:space="preserve">An early two-point read (Haiku then Sonnet) suggested the collapse</w:t>
      </w:r>
      <w:r>
        <w:t xml:space="preserve"> </w:t>
      </w:r>
      <w:r>
        <w:t xml:space="preserve">“intensifies with</w:t>
      </w:r>
      <w:r>
        <w:t xml:space="preserve"> </w:t>
      </w:r>
      <w:r>
        <w:t xml:space="preserve">model strength”</w:t>
      </w:r>
      <w:r>
        <w:t xml:space="preserve">; the third Anthropic model (Opus) falsifies this. On</w:t>
      </w:r>
      <w:r>
        <w:t xml:space="preserve"> </w:t>
      </w:r>
      <w:r>
        <w:rPr>
          <w:rStyle w:val="VerbatimChar"/>
        </w:rPr>
        <w:t xml:space="preserve">api_argorder</w:t>
      </w:r>
      <w:r>
        <w:t xml:space="preserve"> </w:t>
      </w:r>
      <w:r>
        <w:t xml:space="preserve">the</w:t>
      </w:r>
      <w:r>
        <w:t xml:space="preserve"> </w:t>
      </w:r>
      <w:r>
        <w:t xml:space="preserve">collapse is</w:t>
      </w:r>
      <w:r>
        <w:t xml:space="preserve"> </w:t>
      </w:r>
      <m:oMath>
        <m:r>
          <m:t>100</m:t>
        </m:r>
        <m:r>
          <m:rPr>
            <m:sty m:val="p"/>
          </m:rPr>
          <m:t>→</m:t>
        </m:r>
        <m:r>
          <m:t>5</m:t>
        </m:r>
        <m:r>
          <m:rPr>
            <m:sty m:val="p"/>
          </m:rPr>
          <m:t>%</m:t>
        </m:r>
      </m:oMath>
      <w:r>
        <w:t xml:space="preserve"> </w:t>
      </w:r>
      <w:r>
        <w:t xml:space="preserve">(Haiku),</w:t>
      </w:r>
      <w:r>
        <w:t xml:space="preserve"> </w:t>
      </w:r>
      <m:oMath>
        <m:r>
          <m:t>100</m:t>
        </m:r>
        <m:r>
          <m:rPr>
            <m:sty m:val="p"/>
          </m:rPr>
          <m:t>→</m:t>
        </m:r>
        <m:r>
          <m:t>0</m:t>
        </m:r>
        <m:r>
          <m:rPr>
            <m:sty m:val="p"/>
          </m:rPr>
          <m:t>%</m:t>
        </m:r>
      </m:oMath>
      <w:r>
        <w:t xml:space="preserve"> </w:t>
      </w:r>
      <w:r>
        <w:t xml:space="preserve">(Sonnet), and</w:t>
      </w:r>
      <w:r>
        <w:t xml:space="preserve"> </w:t>
      </w:r>
      <m:oMath>
        <m:r>
          <m:t>100</m:t>
        </m:r>
        <m:r>
          <m:rPr>
            <m:sty m:val="p"/>
          </m:rPr>
          <m:t>→</m:t>
        </m:r>
        <m:r>
          <m:t>15</m:t>
        </m:r>
        <m:r>
          <m:rPr>
            <m:sty m:val="p"/>
          </m:rPr>
          <m:t>%</m:t>
        </m:r>
      </m:oMath>
      <w:r>
        <w:t xml:space="preserve"> </w:t>
      </w:r>
      <w:r>
        <w:t xml:space="preserve">(Opus); the middle model</w:t>
      </w:r>
      <w:r>
        <w:t xml:space="preserve"> </w:t>
      </w:r>
      <w:r>
        <w:t xml:space="preserve">(Sonnet) is the starkest and the strongest (Opus) the mildest. The defensible claim is robustness</w:t>
      </w:r>
      <w:r>
        <w:t xml:space="preserve"> </w:t>
      </w:r>
      <w:r>
        <w:t xml:space="preserve">across the capability ladder,</w:t>
      </w:r>
      <w:r>
        <w:t xml:space="preserve"> </w:t>
      </w:r>
      <w:r>
        <w:rPr>
          <w:i/>
          <w:iCs/>
        </w:rPr>
        <w:t xml:space="preserve">not</w:t>
      </w:r>
      <w:r>
        <w:t xml:space="preserve"> </w:t>
      </w:r>
      <w:r>
        <w:t xml:space="preserve">a capability trend.</w:t>
      </w:r>
      <w:r>
        <w:t xml:space="preserve"> </w:t>
      </w:r>
      <w:r>
        <w:rPr>
          <w:b/>
          <w:bCs/>
        </w:rPr>
        <w:t xml:space="preserve">(ii) The interference verification is structurally cell-selected.</w:t>
      </w:r>
      <w:r>
        <w:t xml:space="preserve"> </w:t>
      </w:r>
      <w:r>
        <w:t xml:space="preserve">Its upper bound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ty m:val="p"/>
              </m:rPr>
              <m:t>none</m:t>
            </m:r>
          </m:sub>
        </m:sSub>
        <m:r>
          <m:rPr>
            <m:sty m:val="p"/>
          </m:rPr>
          <m:t>)</m:t>
        </m:r>
      </m:oMath>
      <w:r>
        <w:t xml:space="preserve">, so it can only verify harm on cells whose none-baseline</w:t>
      </w:r>
      <w:r>
        <w:t xml:space="preserve"> </w:t>
      </w:r>
      <w:r>
        <w:t xml:space="preserve">floors near zero. This is precisely the set of cells unguessable for the model under test, which</w:t>
      </w:r>
      <w:r>
        <w:t xml:space="preserve"> </w:t>
      </w:r>
      <w:r>
        <w:t xml:space="preserve">couples the verifiable-harm set to the model-relative value of private context (§8.4).</w:t>
      </w:r>
      <w:r>
        <w:t xml:space="preserve"> </w:t>
      </w:r>
      <w:r>
        <w:t xml:space="preserve">We treat this as a protocol (Remark 5): we verify anti-monotonicity only on</w:t>
      </w:r>
      <w:r>
        <w:t xml:space="preserve"> </w:t>
      </w:r>
      <w:r>
        <w:t xml:space="preserve">floor-baseline cells, because a leaky baseline</w:t>
      </w:r>
      <w:r>
        <w:t xml:space="preserve"> </w:t>
      </w:r>
      <w:r>
        <w:t xml:space="preserve">mechanically shrinks the verifiable</w:t>
      </w:r>
      <w:r>
        <w:t xml:space="preserve"> </w:t>
      </w:r>
      <m:oMath>
        <m:sSub>
          <m:e>
            <m:r>
              <m:rPr>
                <m:sty m:val="p"/>
              </m:rPr>
              <m:t>Ψ</m:t>
            </m:r>
          </m:e>
          <m:sub>
            <m:r>
              <m:t>T</m:t>
            </m:r>
          </m:sub>
        </m:sSub>
      </m:oMath>
      <w:r>
        <w:t xml:space="preserve">. On</w:t>
      </w:r>
      <w:r>
        <w:t xml:space="preserve"> </w:t>
      </w:r>
      <w:r>
        <w:rPr>
          <w:rStyle w:val="VerbatimChar"/>
        </w:rPr>
        <w:t xml:space="preserve">api_argorder</w:t>
      </w:r>
      <w:r>
        <w:t xml:space="preserve"> </w:t>
      </w:r>
      <w:r>
        <w:t xml:space="preserve">the harm is verified for</w:t>
      </w:r>
      <w:r>
        <w:t xml:space="preserve"> </w:t>
      </w:r>
      <w:r>
        <w:t xml:space="preserve">Haiku (baseline</w:t>
      </w:r>
      <w:r>
        <w:t xml:space="preserve"> </w:t>
      </w:r>
      <m:oMath>
        <m:r>
          <m:t>2</m:t>
        </m:r>
        <m:r>
          <m:rPr>
            <m:sty m:val="p"/>
          </m:rPr>
          <m:t>%</m:t>
        </m:r>
      </m:oMath>
      <w:r>
        <w:t xml:space="preserve">) and Sonnet (</w:t>
      </w:r>
      <m:oMath>
        <m:r>
          <m:t>0</m:t>
        </m:r>
        <m:r>
          <m:rPr>
            <m:sty m:val="p"/>
          </m:rPr>
          <m:t>%</m:t>
        </m:r>
      </m:oMath>
      <w:r>
        <w:t xml:space="preserve">) but not for GPT-5.5 (baseline</w:t>
      </w:r>
      <w:r>
        <w:t xml:space="preserve"> </w:t>
      </w:r>
      <m:oMath>
        <m:r>
          <m:t>75</m:t>
        </m:r>
        <m:r>
          <m:rPr>
            <m:sty m:val="p"/>
          </m:rPr>
          <m:t>%</m:t>
        </m:r>
      </m:oMath>
      <w:r>
        <w:t xml:space="preserve">), Kimi (</w:t>
      </w:r>
      <m:oMath>
        <m:r>
          <m:t>45</m:t>
        </m:r>
        <m:r>
          <m:rPr>
            <m:sty m:val="p"/>
          </m:rPr>
          <m:t>%</m:t>
        </m:r>
      </m:oMath>
      <w:r>
        <w:t xml:space="preserve">), or Opus (</w:t>
      </w:r>
      <m:oMath>
        <m:r>
          <m:t>40</m:t>
        </m:r>
        <m:r>
          <m:rPr>
            <m:sty m:val="p"/>
          </m:rPr>
          <m:t>%</m:t>
        </m:r>
      </m:oMath>
      <w:r>
        <w:t xml:space="preserve">).</w:t>
      </w:r>
    </w:p>
    <w:bookmarkStart w:id="112" w:name="will-scale-restore-blackwell-coherence"/>
    <w:p>
      <w:pPr>
        <w:pStyle w:val="Heading4"/>
      </w:pPr>
      <w:r>
        <w:t xml:space="preserve">Will scale restore Blackwell coherence?</w:t>
      </w:r>
    </w:p>
    <w:p>
      <w:pPr>
        <w:pStyle w:val="FirstParagraph"/>
      </w:pPr>
      <w:r>
        <w:t xml:space="preserve">The capability non-monotonicity raises a question this framework makes precisely testable: is</w:t>
      </w:r>
      <w:r>
        <w:t xml:space="preserve"> </w:t>
      </w:r>
      <w:r>
        <w:t xml:space="preserve">Blackwell coherence of the realized rule an emergent property of scale? Three points on one</w:t>
      </w:r>
      <w:r>
        <w:t xml:space="preserve"> </w:t>
      </w:r>
      <w:r>
        <w:t xml:space="preserve">vendor’s ladder cannot estimate that curve, and we decline to extrapolate from them; what the</w:t>
      </w:r>
      <w:r>
        <w:t xml:space="preserve"> </w:t>
      </w:r>
      <w:r>
        <w:t xml:space="preserve">framework contributes is the</w:t>
      </w:r>
      <w:r>
        <w:t xml:space="preserve"> </w:t>
      </w:r>
      <w:r>
        <w:rPr>
          <w:i/>
          <w:iCs/>
        </w:rPr>
        <w:t xml:space="preserve">instrument</w:t>
      </w:r>
      <w:r>
        <w:t xml:space="preserve">: coherence is now a verifiable property of any</w:t>
      </w:r>
      <w:r>
        <w:t xml:space="preserve"> </w:t>
      </w:r>
      <w:r>
        <w:t xml:space="preserve">fixed rule, so</w:t>
      </w:r>
      <w:r>
        <w:t xml:space="preserve"> </w:t>
      </w:r>
      <w:r>
        <w:t xml:space="preserve">“</w:t>
      </w:r>
      <m:oMath>
        <m:sSub>
          <m:e>
            <m:r>
              <m:rPr>
                <m:sty m:val="p"/>
              </m:rPr>
              <m:t>Ψ</m:t>
            </m:r>
          </m:e>
          <m:sub>
            <m:r>
              <m:t>T</m:t>
            </m:r>
          </m:sub>
        </m:sSub>
      </m:oMath>
      <w:r>
        <w:t xml:space="preserve"> </w:t>
      </w:r>
      <w:r>
        <w:t xml:space="preserve">versus scale”</w:t>
      </w:r>
      <w:r>
        <w:t xml:space="preserve"> </w:t>
      </w:r>
      <w:r>
        <w:t xml:space="preserve">is a measurable trajectory across model generations</w:t>
      </w:r>
      <w:r>
        <w:t xml:space="preserve"> </w:t>
      </w:r>
      <w:r>
        <w:t xml:space="preserve">rather than a speculation, and the present data offer no comfort that the frontier is already</w:t>
      </w:r>
      <w:r>
        <w:t xml:space="preserve"> </w:t>
      </w:r>
      <w:r>
        <w:t xml:space="preserve">there (GPT-5.5 verifies a</w:t>
      </w:r>
      <w:r>
        <w:t xml:space="preserve"> </w:t>
      </w:r>
      <m:oMath>
        <m:r>
          <m:t>100</m:t>
        </m:r>
        <m:r>
          <m:rPr>
            <m:sty m:val="p"/>
          </m:rPr>
          <m:t>%</m:t>
        </m:r>
        <m:r>
          <m:t>​</m:t>
        </m:r>
        <m:r>
          <m:rPr>
            <m:sty m:val="p"/>
          </m:rPr>
          <m:t>→</m:t>
        </m:r>
        <m:r>
          <m:t>​</m:t>
        </m:r>
        <m:r>
          <m:t>0</m:t>
        </m:r>
        <m:r>
          <m:rPr>
            <m:sty m:val="p"/>
          </m:rPr>
          <m:t>%</m:t>
        </m:r>
      </m:oMath>
      <w:r>
        <w:t xml:space="preserve"> </w:t>
      </w:r>
      <w:r>
        <w:t xml:space="preserve">collapse; Opus reproduces the harm at strong point</w:t>
      </w:r>
      <w:r>
        <w:t xml:space="preserve"> </w:t>
      </w:r>
      <w:r>
        <w:t xml:space="preserve">estimates). Two things would remain true under any scaling outcome. First, the theory treats</w:t>
      </w:r>
      <w:r>
        <w:t xml:space="preserve"> </w:t>
      </w:r>
      <m:oMath>
        <m:sSub>
          <m:e>
            <m:r>
              <m:t>δ</m:t>
            </m:r>
          </m:e>
          <m:sub>
            <m:r>
              <m:t>M</m:t>
            </m:r>
          </m:sub>
        </m:sSub>
      </m:oMath>
      <w:r>
        <w:t xml:space="preserve"> </w:t>
      </w:r>
      <w:r>
        <w:t xml:space="preserve">as fixed</w:t>
      </w:r>
      <w:r>
        <w:t xml:space="preserve"> </w:t>
      </w:r>
      <w:r>
        <w:rPr>
          <w:i/>
          <w:iCs/>
        </w:rPr>
        <w:t xml:space="preserve">per measurement</w:t>
      </w:r>
      <w:r>
        <w:t xml:space="preserve">, not as a claim that models are static: every new</w:t>
      </w:r>
      <w:r>
        <w:t xml:space="preserve"> </w:t>
      </w:r>
      <w:r>
        <w:t xml:space="preserve">model or configuration is a new</w:t>
      </w:r>
      <w:r>
        <w:t xml:space="preserve"> </w:t>
      </w:r>
      <m:oMath>
        <m:r>
          <m:t>θ</m:t>
        </m:r>
      </m:oMath>
      <w:r>
        <w:t xml:space="preserve"> </w:t>
      </w:r>
      <w:r>
        <w:t xml:space="preserve">(§3.3), and every verified quantity is</w:t>
      </w:r>
      <w:r>
        <w:t xml:space="preserve"> </w:t>
      </w:r>
      <w:r>
        <w:t xml:space="preserve">indexed by it, so model evolution is inside the framework, not outside it. Second, and</w:t>
      </w:r>
      <w:r>
        <w:t xml:space="preserve"> </w:t>
      </w:r>
      <w:r>
        <w:t xml:space="preserve">decisively: anti-monotonicity is a coherence failure of the</w:t>
      </w:r>
      <w:r>
        <w:t xml:space="preserve"> </w:t>
      </w:r>
      <w:r>
        <w:rPr>
          <w:i/>
          <w:iCs/>
        </w:rPr>
        <w:t xml:space="preserve">rule</w:t>
      </w:r>
      <w:r>
        <w:t xml:space="preserve"> </w:t>
      </w:r>
      <w:r>
        <w:t xml:space="preserve">and could in principle</w:t>
      </w:r>
      <w:r>
        <w:t xml:space="preserve"> </w:t>
      </w:r>
      <w:r>
        <w:t xml:space="preserve">vanish with scale, but incomparability is a structural property of the</w:t>
      </w:r>
      <w:r>
        <w:t xml:space="preserve"> </w:t>
      </w:r>
      <w:r>
        <w:rPr>
          <w:i/>
          <w:iCs/>
        </w:rPr>
        <w:t xml:space="preserve">sources</w:t>
      </w:r>
      <w:r>
        <w:t xml:space="preserve">, mutually</w:t>
      </w:r>
      <w:r>
        <w:t xml:space="preserve"> </w:t>
      </w:r>
      <w:r>
        <w:t xml:space="preserve">non-refining signals stay incomparable no matter how capable the reader becomes, so the paper’s</w:t>
      </w:r>
      <w:r>
        <w:t xml:space="preserve"> </w:t>
      </w:r>
      <w:r>
        <w:t xml:space="preserve">central claim, that selection is a partial-order problem, is invariant to how the scaling</w:t>
      </w:r>
      <w:r>
        <w:t xml:space="preserve"> </w:t>
      </w:r>
      <w:r>
        <w:t xml:space="preserve">question resolves; scale can change only how gracefully a fixed rule degrades, never the order</w:t>
      </w:r>
      <w:r>
        <w:t xml:space="preserve"> </w:t>
      </w:r>
      <w:r>
        <w:t xml:space="preserve">itself.</w:t>
      </w:r>
    </w:p>
    <w:bookmarkEnd w:id="112"/>
    <w:bookmarkEnd w:id="113"/>
    <w:bookmarkStart w:id="114" w:name="sec:disc-moat"/>
    <w:p>
      <w:pPr>
        <w:pStyle w:val="Heading2"/>
      </w:pPr>
      <w:r>
        <w:t xml:space="preserve">The value of private context is model-relative and tracks vendor training</w:t>
      </w:r>
    </w:p>
    <w:p>
      <w:pPr>
        <w:pStyle w:val="FirstParagraph"/>
      </w:pPr>
      <w:r>
        <w:t xml:space="preserve">The value of a private convention,</w:t>
      </w:r>
      <w:r>
        <w:t xml:space="preserve"> </w:t>
      </w:r>
      <m:oMath>
        <m:r>
          <m:t>I</m:t>
        </m:r>
        <m:r>
          <m:rPr>
            <m:sty m:val="p"/>
          </m:rPr>
          <m:t>(</m:t>
        </m:r>
        <m:r>
          <m:t>S</m:t>
        </m:r>
        <m:r>
          <m:rPr>
            <m:sty m:val="p"/>
          </m:rPr>
          <m:t>;</m:t>
        </m:r>
        <m:r>
          <m:t>W</m:t>
        </m:r>
        <m:r>
          <m:rPr>
            <m:sty m:val="p"/>
          </m:rPr>
          <m:t>∣</m:t>
        </m:r>
        <m:r>
          <m:t>θ</m:t>
        </m:r>
        <m:r>
          <m:rPr>
            <m:sty m:val="p"/>
          </m:rPr>
          <m:t>)</m:t>
        </m:r>
      </m:oMath>
      <w:r>
        <w:t xml:space="preserve">, is itself a model-relative (</w:t>
      </w:r>
      <m:oMath>
        <m:r>
          <m:t>θ</m:t>
        </m:r>
      </m:oMath>
      <w:r>
        <w:t xml:space="preserve">-dependent)</w:t>
      </w:r>
      <w:r>
        <w:t xml:space="preserve"> </w:t>
      </w:r>
      <w:r>
        <w:t xml:space="preserve">object, and the data give a clean continuous map of it. The none-arm baseline on</w:t>
      </w:r>
      <w:r>
        <w:t xml:space="preserve"> </w:t>
      </w:r>
      <w:r>
        <w:rPr>
          <w:rStyle w:val="VerbatimChar"/>
        </w:rPr>
        <w:t xml:space="preserve">api_argorder</w:t>
      </w:r>
      <w:r>
        <w:t xml:space="preserve">, how often a model reproduces the private convention with no context supplied, forms a spectrum:</w:t>
      </w:r>
      <w:r>
        <w:t xml:space="preserve"> </w:t>
      </w:r>
      <w:r>
        <w:t xml:space="preserve">Haiku and Sonnet</w:t>
      </w:r>
      <w:r>
        <w:t xml:space="preserve"> </w:t>
      </w:r>
      <m:oMath>
        <m:r>
          <m:rPr>
            <m:sty m:val="p"/>
          </m:rPr>
          <m:t>∼</m:t>
        </m:r>
        <m:r>
          <m:t>​</m:t>
        </m:r>
        <m:r>
          <m:t>0</m:t>
        </m:r>
        <m:r>
          <m:rPr>
            <m:sty m:val="p"/>
          </m:rPr>
          <m:t>%</m:t>
        </m:r>
      </m:oMath>
      <w:r>
        <w:t xml:space="preserve">, DeepSeek</w:t>
      </w:r>
      <w:r>
        <w:t xml:space="preserve"> </w:t>
      </w:r>
      <m:oMath>
        <m:r>
          <m:t>2</m:t>
        </m:r>
        <m:r>
          <m:rPr>
            <m:sty m:val="p"/>
          </m:rPr>
          <m:t>%</m:t>
        </m:r>
      </m:oMath>
      <w:r>
        <w:t xml:space="preserve">, Opus</w:t>
      </w:r>
      <w:r>
        <w:t xml:space="preserve"> </w:t>
      </w:r>
      <m:oMath>
        <m:r>
          <m:t>15</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We do not claim this</w:t>
      </w:r>
      <w:r>
        <w:t xml:space="preserve"> </w:t>
      </w:r>
      <w:r>
        <w:t xml:space="preserve">tracks capability. The decisive piece of evidence is DeepSeek: it has a tight, near-zero prior like</w:t>
      </w:r>
      <w:r>
        <w:t xml:space="preserve"> </w:t>
      </w:r>
      <w:r>
        <w:t xml:space="preserve">Claude despite being a different vendor, while GPT-5.5’s prior is wide (</w:t>
      </w:r>
      <m:oMath>
        <m:r>
          <m:t>55</m:t>
        </m:r>
        <m:r>
          <m:rPr>
            <m:sty m:val="p"/>
          </m:rPr>
          <m:t>%</m:t>
        </m:r>
      </m:oMath>
      <w:r>
        <w:t xml:space="preserve">–</w:t>
      </w:r>
      <m:oMath>
        <m:r>
          <m:t>75</m:t>
        </m:r>
        <m:r>
          <m:rPr>
            <m:sty m:val="p"/>
          </m:rPr>
          <m:t>%</m:t>
        </m:r>
      </m:oMath>
      <w:r>
        <w:t xml:space="preserve"> </w:t>
      </w:r>
      <w:r>
        <w:t xml:space="preserve">guessing on</w:t>
      </w:r>
      <w:r>
        <w:t xml:space="preserve"> </w:t>
      </w:r>
      <w:r>
        <w:rPr>
          <w:rStyle w:val="VerbatimChar"/>
        </w:rPr>
        <w:t xml:space="preserve">api_argorder</w:t>
      </w:r>
      <w:r>
        <w:t xml:space="preserve">/</w:t>
      </w:r>
      <w:r>
        <w:rPr>
          <w:rStyle w:val="VerbatimChar"/>
        </w:rPr>
        <w:t xml:space="preserve">enc_amount</w:t>
      </w:r>
      <w:r>
        <w:t xml:space="preserve">). A</w:t>
      </w:r>
      <w:r>
        <w:t xml:space="preserve"> </w:t>
      </w:r>
      <w:r>
        <w:t xml:space="preserve">“stronger-model-knows-more”</w:t>
      </w:r>
      <w:r>
        <w:t xml:space="preserve"> </w:t>
      </w:r>
      <w:r>
        <w:t xml:space="preserve">account predicts the</w:t>
      </w:r>
      <w:r>
        <w:t xml:space="preserve"> </w:t>
      </w:r>
      <w:r>
        <w:t xml:space="preserve">spectrum to follow capability; it does not. We read</w:t>
      </w:r>
      <w:r>
        <w:t xml:space="preserve"> </w:t>
      </w:r>
      <m:oMath>
        <m:r>
          <m:t>I</m:t>
        </m:r>
        <m:r>
          <m:rPr>
            <m:sty m:val="p"/>
          </m:rPr>
          <m:t>(</m:t>
        </m:r>
        <m:r>
          <m:t>S</m:t>
        </m:r>
        <m:r>
          <m:rPr>
            <m:sty m:val="p"/>
          </m:rPr>
          <m:t>;</m:t>
        </m:r>
        <m:r>
          <m:t>W</m:t>
        </m:r>
        <m:r>
          <m:rPr>
            <m:sty m:val="p"/>
          </m:rPr>
          <m:t>∣</m:t>
        </m:r>
        <m:r>
          <m:t>θ</m:t>
        </m:r>
        <m:r>
          <m:rPr>
            <m:sty m:val="p"/>
          </m:rPr>
          <m:t>)</m:t>
        </m:r>
      </m:oMath>
      <w:r>
        <w:t xml:space="preserve"> </w:t>
      </w:r>
      <w:r>
        <w:t xml:space="preserve">as tracking a vendor’s training</w:t>
      </w:r>
      <w:r>
        <w:t xml:space="preserve"> </w:t>
      </w:r>
      <w:r>
        <w:t xml:space="preserve">distribution rather than raw capability, which makes the theory’s</w:t>
      </w:r>
      <w:r>
        <w:t xml:space="preserve"> </w:t>
      </w:r>
      <m:oMath>
        <m:r>
          <m:t>θ</m:t>
        </m:r>
      </m:oMath>
      <w:r>
        <w:t xml:space="preserve">-dependence concrete and</w:t>
      </w:r>
      <w:r>
        <w:t xml:space="preserve"> </w:t>
      </w:r>
      <w:r>
        <w:t xml:space="preserve">caps which cells verify per model.</w:t>
      </w:r>
    </w:p>
    <w:bookmarkEnd w:id="114"/>
    <w:bookmarkStart w:id="116"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w:t>
      </w:r>
      <w:r>
        <w:t xml:space="preserve"> </w:t>
      </w:r>
      <m:oMath>
        <m:sSub>
          <m:e>
            <m:r>
              <m:t>W</m:t>
            </m:r>
          </m:e>
          <m:sub>
            <m:r>
              <m:t>1</m:t>
            </m:r>
            <m:r>
              <m:rPr>
                <m:sty m:val="p"/>
              </m:rPr>
              <m:t>+</m:t>
            </m:r>
          </m:sub>
        </m:sSub>
      </m:oMath>
      <w:r>
        <w:t xml:space="preserve"> </w:t>
      </w:r>
      <w:r>
        <w:t xml:space="preserve">emits between</w:t>
      </w:r>
      <w:r>
        <w:t xml:space="preserve"> </w:t>
      </w:r>
      <m:oMath>
        <m:r>
          <m:rPr>
            <m:sty m:val="p"/>
          </m:rPr>
          <m:t>+</m:t>
        </m:r>
        <m:r>
          <m:t>87</m:t>
        </m:r>
        <m:r>
          <m:rPr>
            <m:sty m:val="p"/>
          </m:rPr>
          <m:t>%</m:t>
        </m:r>
      </m:oMath>
      <w:r>
        <w:t xml:space="preserve"> </w:t>
      </w:r>
      <w:r>
        <w:t xml:space="preserve">and</w:t>
      </w:r>
      <w:r>
        <w:t xml:space="preserve"> </w:t>
      </w:r>
      <m:oMath>
        <m:r>
          <m:rPr>
            <m:sty m:val="p"/>
          </m:rPr>
          <m:t>+</m:t>
        </m:r>
        <m:r>
          <m:t>281</m:t>
        </m:r>
        <m:r>
          <m:rPr>
            <m:sty m:val="p"/>
          </m:rPr>
          <m:t>%</m:t>
        </m:r>
      </m:oMath>
      <w:r>
        <w:t xml:space="preserve"> </w:t>
      </w:r>
      <w:r>
        <w:t xml:space="preserve">more output tokens than</w:t>
      </w:r>
      <w:r>
        <w:t xml:space="preserve"> </w:t>
      </w:r>
      <m:oMath>
        <m:sSub>
          <m:e>
            <m:r>
              <m:t>W</m:t>
            </m:r>
          </m:e>
          <m:sub>
            <m:r>
              <m:t>1</m:t>
            </m:r>
          </m:sub>
        </m:sSub>
      </m:oMath>
      <w:r>
        <w:t xml:space="preserve"> </w:t>
      </w:r>
      <w:r>
        <w:t xml:space="preserve">on the API collapse cells (e.g. Haiku</w:t>
      </w:r>
      <w:r>
        <w:t xml:space="preserve"> </w:t>
      </w:r>
      <m:oMath>
        <m:r>
          <m:rPr>
            <m:sty m:val="p"/>
          </m:rPr>
          <m:t>+</m:t>
        </m:r>
        <m:r>
          <m:t>106</m:t>
        </m:r>
        <m:r>
          <m:rPr>
            <m:sty m:val="p"/>
          </m:rPr>
          <m:t>%</m:t>
        </m:r>
        <m:r>
          <m:rPr>
            <m:sty m:val="p"/>
          </m:rPr>
          <m:t>/</m:t>
        </m:r>
        <m:r>
          <m:rPr>
            <m:sty m:val="p"/>
          </m:rPr>
          <m:t>+</m:t>
        </m:r>
        <m:r>
          <m:t>87</m:t>
        </m:r>
        <m:r>
          <m:rPr>
            <m:sty m:val="p"/>
          </m:rPr>
          <m:t>%</m:t>
        </m:r>
        <m:r>
          <m:rPr>
            <m:sty m:val="p"/>
          </m:rPr>
          <m:t>/</m:t>
        </m:r>
        <m:r>
          <m:rPr>
            <m:sty m:val="p"/>
          </m:rPr>
          <m:t>+</m:t>
        </m:r>
        <m:r>
          <m:t>252</m:t>
        </m:r>
        <m:r>
          <m:rPr>
            <m:sty m:val="p"/>
          </m:rPr>
          <m:t>%</m:t>
        </m:r>
      </m:oMath>
      <w:r>
        <w:t xml:space="preserve">; Sonnet</w:t>
      </w:r>
      <w:r>
        <w:t xml:space="preserve"> </w:t>
      </w:r>
      <m:oMath>
        <m:r>
          <m:rPr>
            <m:sty m:val="p"/>
          </m:rPr>
          <m:t>+</m:t>
        </m:r>
        <m:r>
          <m:t>120</m:t>
        </m:r>
        <m:r>
          <m:rPr>
            <m:sty m:val="p"/>
          </m:rPr>
          <m:t>%</m:t>
        </m:r>
        <m:r>
          <m:rPr>
            <m:sty m:val="p"/>
          </m:rPr>
          <m:t>/</m:t>
        </m:r>
        <m:r>
          <m:rPr>
            <m:sty m:val="p"/>
          </m:rPr>
          <m:t>+</m:t>
        </m:r>
        <m:r>
          <m:t>131</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One might read this as</w:t>
      </w:r>
      <w:r>
        <w:t xml:space="preserve"> </w:t>
      </w:r>
      <w:r>
        <w:t xml:space="preserve">“verbose thrashing”</w:t>
      </w:r>
      <w:r>
        <w:t xml:space="preserve"> </w:t>
      </w:r>
      <w:r>
        <w:t xml:space="preserve">causing the failure, but the relationship is correlational and uncontrolled: the</w:t>
      </w:r>
      <w:r>
        <w:t xml:space="preserve"> </w:t>
      </w:r>
      <w:r>
        <w:t xml:space="preserve">same superset arm also inflates output by</w:t>
      </w:r>
      <w:r>
        <w:t xml:space="preserve"> </w:t>
      </w:r>
      <m:oMath>
        <m:r>
          <m:rPr>
            <m:sty m:val="p"/>
          </m:rPr>
          <m:t>+</m:t>
        </m:r>
        <m:r>
          <m:t>12</m:t>
        </m:r>
        <m:r>
          <m:rPr>
            <m:sty m:val="p"/>
          </m:rPr>
          <m:t>%</m:t>
        </m:r>
      </m:oMath>
      <w:r>
        <w:t xml:space="preserve"> </w:t>
      </w:r>
      <w:r>
        <w:t xml:space="preserve">on the</w:t>
      </w:r>
      <w:r>
        <w:t xml:space="preserve"> </w:t>
      </w:r>
      <w:r>
        <w:rPr>
          <w:i/>
          <w:iCs/>
        </w:rPr>
        <w:t xml:space="preserve">still-passing</w:t>
      </w:r>
      <w:r>
        <w:t xml:space="preserve"> </w:t>
      </w:r>
      <w:r>
        <w:t xml:space="preserve">encoding cell, which</w:t>
      </w:r>
      <w:r>
        <w:t xml:space="preserve"> </w:t>
      </w:r>
      <w:r>
        <w:t xml:space="preserve">undercuts a clean</w:t>
      </w:r>
      <w:r>
        <w:t xml:space="preserve"> </w:t>
      </w:r>
      <w:r>
        <w:t xml:space="preserve">“verbosity causes collapse”</w:t>
      </w:r>
      <w:r>
        <w:t xml:space="preserve"> </w:t>
      </w:r>
      <w:r>
        <w:t xml:space="preserve">account. We therefore treat the token fingerprint as a</w:t>
      </w:r>
      <w:r>
        <w:t xml:space="preserve"> </w:t>
      </w:r>
      <w:r>
        <w:t xml:space="preserve">reproducible correlate of the harmful arm, not a mechanism.</w:t>
      </w:r>
    </w:p>
    <w:p>
      <w:pPr>
        <w:pStyle w:val="BodyText"/>
      </w:pPr>
      <w:r>
        <w:t xml:space="preserve">Two points bound what this paper can and cannot say about mechanism. First, the claim structure is</w:t>
      </w:r>
      <w:r>
        <w:t xml:space="preserve"> </w:t>
      </w:r>
      <w:r>
        <w:t xml:space="preserve">deliberately mechanism-agnostic: Theorem 3 verifies that the realized rule is not</w:t>
      </w:r>
      <w:r>
        <w:t xml:space="preserve"> </w:t>
      </w:r>
      <w:r>
        <w:t xml:space="preserve">Blackwell-coherent</w:t>
      </w:r>
      <w:r>
        <w:t xml:space="preserve"> </w:t>
      </w:r>
      <w:r>
        <w:rPr>
          <w:i/>
          <w:iCs/>
        </w:rPr>
        <w:t xml:space="preserve">whatever</w:t>
      </w:r>
      <w:r>
        <w:t xml:space="preserve"> </w:t>
      </w:r>
      <w:r>
        <w:t xml:space="preserve">the internal cause, and the behavioral controls already</w:t>
      </w:r>
      <w:r>
        <w:t xml:space="preserve"> </w:t>
      </w:r>
      <w:r>
        <w:t xml:space="preserve">constrain the hypothesis space from the outside, the harm is not position (order control), not</w:t>
      </w:r>
      <w:r>
        <w:t xml:space="preserve"> </w:t>
      </w:r>
      <w:r>
        <w:t xml:space="preserve">token count (padding control), and is largely, though not fully, curable by explicit convention</w:t>
      </w:r>
      <w:r>
        <w:t xml:space="preserve"> </w:t>
      </w:r>
      <w:r>
        <w:t xml:space="preserve">routing (instruction ablation), a signature consistent with convention interference or</w:t>
      </w:r>
      <w:r>
        <w:t xml:space="preserve"> </w:t>
      </w:r>
      <w:r>
        <w:t xml:space="preserve">mis-binding rather than capacity exhaustion. Second, an activation-level account is genuinely out</w:t>
      </w:r>
      <w:r>
        <w:t xml:space="preserve"> </w:t>
      </w:r>
      <w:r>
        <w:t xml:space="preserve">of reach for the objects studied here: four of the six models are closed-weight production APIs,</w:t>
      </w:r>
      <w:r>
        <w:t xml:space="preserve"> </w:t>
      </w:r>
      <w:r>
        <w:t xml:space="preserve">and the phenomenon is cross-vendor, so any internal story must generalize across architectures we</w:t>
      </w:r>
      <w:r>
        <w:t xml:space="preserve"> </w:t>
      </w:r>
      <w:r>
        <w:t xml:space="preserve">cannot open. The direct path to mechanism is to reproduce the collapse on an open-weight model</w:t>
      </w:r>
      <w:r>
        <w:t xml:space="preserve"> </w:t>
      </w:r>
      <w:r>
        <w:t xml:space="preserve">with the same harness (the launchers speak any OpenAI-compatible endpoint) and then instrument</w:t>
      </w:r>
      <w:r>
        <w:t xml:space="preserve"> </w:t>
      </w:r>
      <w:r>
        <w:t xml:space="preserve">attention and activation patterns on the contrasting arms; we regard this as the natural</w:t>
      </w:r>
      <w:r>
        <w:t xml:space="preserve"> </w:t>
      </w:r>
      <w:r>
        <w:t xml:space="preserve">mechanistic companion study, downstream of, not prerequisite to, the verified behavioral claim.</w:t>
      </w:r>
    </w:p>
    <w:bookmarkStart w:id="115" w:name="X37a5acb05d688eb32bbe54c216dbcf303d3b4c3"/>
    <w:p>
      <w:pPr>
        <w:pStyle w:val="Heading4"/>
      </w:pPr>
      <w:r>
        <w:t xml:space="preserve">Levels of description, and three readings of the phenomenon.</w:t>
      </w:r>
    </w:p>
    <w:p>
      <w:pPr>
        <w:pStyle w:val="FirstParagraph"/>
      </w:pPr>
      <w:r>
        <w:t xml:space="preserve">The partial order is a decision-theoretic, behavioral-level frame; it does not compete with a</w:t>
      </w:r>
      <w:r>
        <w:t xml:space="preserve"> </w:t>
      </w:r>
      <w:r>
        <w:t xml:space="preserve">computational account of how conditioning on added text changes the model’s processing. The two</w:t>
      </w:r>
      <w:r>
        <w:t xml:space="preserve"> </w:t>
      </w:r>
      <w:r>
        <w:t xml:space="preserve">are levels of description of the same event, and the verified behavioral facts are the</w:t>
      </w:r>
      <w:r>
        <w:t xml:space="preserve"> </w:t>
      </w:r>
      <w:r>
        <w:t xml:space="preserve">constraints any computational account must satisfy. Three interpretive readings are compatible</w:t>
      </w:r>
      <w:r>
        <w:t xml:space="preserve"> </w:t>
      </w:r>
      <w:r>
        <w:t xml:space="preserve">with the present data, and each is discriminable by a named experiment.</w:t>
      </w:r>
      <w:r>
        <w:t xml:space="preserve"> </w:t>
      </w:r>
      <w:r>
        <w:rPr>
          <w:b/>
          <w:bCs/>
        </w:rPr>
        <w:t xml:space="preserve">(i) A transient</w:t>
      </w:r>
      <w:r>
        <w:rPr>
          <w:b/>
          <w:bCs/>
        </w:rPr>
        <w:t xml:space="preserve"> </w:t>
      </w:r>
      <w:r>
        <w:rPr>
          <w:b/>
          <w:bCs/>
        </w:rPr>
        <w:t xml:space="preserve">failure of current models</w:t>
      </w:r>
      <w:r>
        <w:t xml:space="preserve">: discriminated by the coherence-versus-scale trajectory of</w:t>
      </w:r>
      <w:r>
        <w:t xml:space="preserve"> </w:t>
      </w:r>
      <w:r>
        <w:t xml:space="preserve">§8.3, if</w:t>
      </w:r>
      <w:r>
        <w:t xml:space="preserve"> </w:t>
      </w:r>
      <m:oMath>
        <m:sSub>
          <m:e>
            <m:r>
              <m:rPr>
                <m:sty m:val="p"/>
              </m:rPr>
              <m:t>Ψ</m:t>
            </m:r>
          </m:e>
          <m:sub>
            <m:r>
              <m:t>T</m:t>
            </m:r>
          </m:sub>
        </m:sSub>
      </m:oMath>
      <w:r>
        <w:t xml:space="preserve"> </w:t>
      </w:r>
      <w:r>
        <w:t xml:space="preserve">shrinks toward zero across model generations, the</w:t>
      </w:r>
      <w:r>
        <w:t xml:space="preserve"> </w:t>
      </w:r>
      <w:r>
        <w:t xml:space="preserve">anti-monotonicity half of the phenomenon was a passing artifact (the incomparability half, being</w:t>
      </w:r>
      <w:r>
        <w:t xml:space="preserve"> </w:t>
      </w:r>
      <w:r>
        <w:t xml:space="preserve">a property of the sources, remains).</w:t>
      </w:r>
      <w:r>
        <w:t xml:space="preserve"> </w:t>
      </w:r>
      <w:r>
        <w:rPr>
          <w:b/>
          <w:bCs/>
        </w:rPr>
        <w:t xml:space="preserve">(ii) A property of fixed-compute inference</w:t>
      </w:r>
      <w:r>
        <w:t xml:space="preserve">: a rule</w:t>
      </w:r>
      <w:r>
        <w:t xml:space="preserve"> </w:t>
      </w:r>
      <w:r>
        <w:t xml:space="preserve">that spends the same forward computation regardless of context configuration cannot be optimal</w:t>
      </w:r>
      <w:r>
        <w:t xml:space="preserve"> </w:t>
      </w:r>
      <w:r>
        <w:t xml:space="preserve">for every configuration, on this reading some coherence violation persists at every scale and</w:t>
      </w:r>
      <w:r>
        <w:t xml:space="preserve"> </w:t>
      </w:r>
      <w:r>
        <w:t xml:space="preserve">only relocates.</w:t>
      </w:r>
      <w:r>
        <w:t xml:space="preserve"> </w:t>
      </w:r>
      <w:r>
        <w:rPr>
          <w:b/>
          <w:bCs/>
        </w:rPr>
        <w:t xml:space="preserve">(iii) Prompts as programs</w:t>
      </w:r>
      <w:r>
        <w:t xml:space="preserve">: the added convention does not merely add</w:t>
      </w:r>
      <w:r>
        <w:t xml:space="preserve"> </w:t>
      </w:r>
      <w:r>
        <w:t xml:space="preserve">information, it selects a different computation; this reading is supported by the routing</w:t>
      </w:r>
      <w:r>
        <w:t xml:space="preserve"> </w:t>
      </w:r>
      <w:r>
        <w:t xml:space="preserve">result, a one-line control statement that adds no task-relevant information recovers most of the</w:t>
      </w:r>
      <w:r>
        <w:t xml:space="preserve"> </w:t>
      </w:r>
      <w:r>
        <w:t xml:space="preserve">collapse, and by the structured-context ablation, labeled XML segmentation of the same content</w:t>
      </w:r>
      <w:r>
        <w:t xml:space="preserve"> </w:t>
      </w:r>
      <w:r>
        <w:t xml:space="preserve">recovers only a minority of the collapse (</w:t>
      </w:r>
      <m:oMath>
        <m:r>
          <m:t>2</m:t>
        </m:r>
        <m:r>
          <m:rPr>
            <m:sty m:val="p"/>
          </m:rPr>
          <m:t>%</m:t>
        </m:r>
        <m:r>
          <m:rPr>
            <m:sty m:val="p"/>
          </m:rPr>
          <m:t>→</m:t>
        </m:r>
        <m:r>
          <m:t>42</m:t>
        </m:r>
        <m:r>
          <m:rPr>
            <m:sty m:val="p"/>
          </m:rPr>
          <m:t>%</m:t>
        </m:r>
      </m:oMath>
      <w:r>
        <w:t xml:space="preserve">) while the routing statement recovers most</w:t>
      </w:r>
      <w:r>
        <w:t xml:space="preserve"> </w:t>
      </w:r>
      <w:r>
        <w:t xml:space="preserve">of it (</w:t>
      </w:r>
      <m:oMath>
        <m:r>
          <m:rPr>
            <m:sty m:val="p"/>
          </m:rPr>
          <m:t>→</m:t>
        </m:r>
        <m:r>
          <m:t>80</m:t>
        </m:r>
        <m:r>
          <m:rPr>
            <m:sty m:val="p"/>
          </m:rPr>
          <m:t>%</m:t>
        </m:r>
      </m:oMath>
      <w:r>
        <w:t xml:space="preserve">), locating the operative variable in convention-to-task</w:t>
      </w:r>
      <w:r>
        <w:t xml:space="preserve"> </w:t>
      </w:r>
      <w:r>
        <w:rPr>
          <w:i/>
          <w:iCs/>
        </w:rPr>
        <w:t xml:space="preserve">routing</w:t>
      </w:r>
      <w:r>
        <w:t xml:space="preserve"> </w:t>
      </w:r>
      <w:r>
        <w:t xml:space="preserve">rather</w:t>
      </w:r>
      <w:r>
        <w:t xml:space="preserve"> </w:t>
      </w:r>
      <w:r>
        <w:t xml:space="preserve">than formatting or segmentation. We state these as interpretations, not findings; every verified</w:t>
      </w:r>
      <w:r>
        <w:t xml:space="preserve"> </w:t>
      </w:r>
      <w:r>
        <w:t xml:space="preserve">claim in the paper is independent of which reading is true.</w:t>
      </w:r>
    </w:p>
    <w:bookmarkEnd w:id="115"/>
    <w:bookmarkEnd w:id="116"/>
    <w:bookmarkStart w:id="123"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7"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with its guarantees and evaluation against strong reranker baselines, is factored into a</w:t>
      </w:r>
      <w:r>
        <w:t xml:space="preserve"> </w:t>
      </w:r>
      <w:r>
        <w:t xml:space="preserve">companion paper.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w:t>
      </w:r>
    </w:p>
    <w:bookmarkEnd w:id="117"/>
    <w:bookmarkStart w:id="118"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interference is verified in sign</w:t>
      </w:r>
      <w:r>
        <w:t xml:space="preserve"> </w:t>
      </w:r>
      <w:r>
        <w:t xml:space="preserve">(</w:t>
      </w:r>
      <m:oMath>
        <m:sSub>
          <m:e>
            <m:r>
              <m:rPr>
                <m:sty m:val="p"/>
              </m:rPr>
              <m:t>Ψ</m:t>
            </m:r>
          </m:e>
          <m:sub>
            <m:r>
              <m:t>T</m:t>
            </m:r>
          </m:sub>
        </m:sSub>
        <m:r>
          <m:rPr>
            <m:sty m:val="p"/>
          </m:rPr>
          <m:t>&lt;</m:t>
        </m:r>
        <m:r>
          <m:t>0</m:t>
        </m:r>
      </m:oMath>
      <w:r>
        <w:t xml:space="preserve"> </w:t>
      </w:r>
      <w:r>
        <w:t xml:space="preserve">at</w:t>
      </w:r>
      <w:r>
        <w:t xml:space="preserve"> </w:t>
      </w:r>
      <m:oMath>
        <m:r>
          <m:t>n</m:t>
        </m:r>
        <m:r>
          <m:rPr>
            <m:sty m:val="p"/>
          </m:rPr>
          <m:t>=</m:t>
        </m:r>
        <m:r>
          <m:t>80</m:t>
        </m:r>
      </m:oMath>
      <w:r>
        <w:t xml:space="preserve">) but not at the</w:t>
      </w:r>
      <w:r>
        <w:t xml:space="preserve"> </w:t>
      </w:r>
      <m:oMath>
        <m:r>
          <m:t>τ</m:t>
        </m:r>
        <m:r>
          <m:rPr>
            <m:sty m:val="p"/>
          </m:rPr>
          <m:t>=</m:t>
        </m:r>
        <m:r>
          <m:t>0.30</m:t>
        </m:r>
      </m:oMath>
      <w:r>
        <w:t xml:space="preserve"> </w:t>
      </w:r>
      <w:r>
        <w:t xml:space="preserve">margin, its</w:t>
      </w:r>
      <w:r>
        <w:t xml:space="preserve"> </w:t>
      </w:r>
      <m:oMath>
        <m:r>
          <m:t>80</m:t>
        </m:r>
        <m:r>
          <m:rPr>
            <m:sty m:val="p"/>
          </m:rPr>
          <m:t>%</m:t>
        </m:r>
      </m:oMath>
      <w:r>
        <w:t xml:space="preserve"> </w:t>
      </w:r>
      <m:oMath>
        <m:sSub>
          <m:e>
            <m:r>
              <m:t>V</m:t>
            </m:r>
          </m:e>
          <m:sub>
            <m:r>
              <m:t>1</m:t>
            </m:r>
          </m:sub>
        </m:sSub>
      </m:oMath>
      <w:r>
        <w:t xml:space="preserve"> </w:t>
      </w:r>
      <w:r>
        <w:t xml:space="preserve">ceiling keeps the</w:t>
      </w:r>
      <w:r>
        <w:t xml:space="preserve"> </w:t>
      </w:r>
      <w:r>
        <w:t xml:space="preserve">four-term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8"/>
    <w:bookmarkStart w:id="119"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Ψ</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9"/>
    <w:bookmarkStart w:id="120"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 and measuring verified-incomparability prevalence on natural</w:t>
      </w:r>
      <w:r>
        <w:t xml:space="preserve"> </w:t>
      </w:r>
      <w:r>
        <w:t xml:space="preserve">document pairs is the direct next experiment.</w:t>
      </w:r>
    </w:p>
    <w:bookmarkEnd w:id="120"/>
    <w:bookmarkStart w:id="121"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Interference is verifiable only on cells</w:t>
      </w:r>
      <w:r>
        <w:t xml:space="preserve"> </w:t>
      </w:r>
      <w:r>
        <w:t xml:space="preserve">whose</w:t>
      </w:r>
      <w:r>
        <w:t xml:space="preserve"> </w:t>
      </w:r>
      <w:r>
        <w:rPr>
          <w:rStyle w:val="VerbatimChar"/>
        </w:rPr>
        <w:t xml:space="preserve">none</w:t>
      </w:r>
      <w:r>
        <w:t xml:space="preserve"> </w:t>
      </w:r>
      <w:r>
        <w:t xml:space="preserve">baseline floors near zero, stated as a protocol (Remark 5);</w:t>
      </w:r>
      <w:r>
        <w:t xml:space="preserve"> </w:t>
      </w:r>
      <w:r>
        <w:t xml:space="preserve">marginal-versus-joint control is discussed in §8.2.</w:t>
      </w:r>
    </w:p>
    <w:bookmarkEnd w:id="121"/>
    <w:bookmarkStart w:id="122"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22"/>
    <w:bookmarkEnd w:id="123"/>
    <w:bookmarkEnd w:id="124"/>
    <w:bookmarkStart w:id="125" w:name="sec:conclusion"/>
    <w:p>
      <w:pPr>
        <w:pStyle w:val="Heading1"/>
      </w:pPr>
      <w:r>
        <w:t xml:space="preserve">Conclusion</w:t>
      </w:r>
    </w:p>
    <w:p>
      <w:pPr>
        <w:pStyle w:val="FirstParagraph"/>
      </w:pPr>
      <w:r>
        <w:t xml:space="preserve">Context selection is, at bottom, a partial-order problem, not a scalar one. When two sources are</w:t>
      </w:r>
      <w:r>
        <w:t xml:space="preserve"> </w:t>
      </w:r>
      <w:r>
        <w:t xml:space="preserve">incomparable, no scalar score can rank them correctly for all tasks (Theorem 2),</w:t>
      </w:r>
      <w:r>
        <w:t xml:space="preserve"> </w:t>
      </w:r>
      <w:r>
        <w:t xml:space="preserve">which explains the field’s</w:t>
      </w:r>
      <w:r>
        <w:t xml:space="preserve"> </w:t>
      </w:r>
      <w:r>
        <w:t xml:space="preserve">“relevance does not transfer”</w:t>
      </w:r>
      <w:r>
        <w:t xml:space="preserve"> </w:t>
      </w:r>
      <w:r>
        <w:t xml:space="preserve">folklore.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five of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5"/>
    <w:bookmarkStart w:id="137" w:name="app:proofs"/>
    <w:p>
      <w:pPr>
        <w:pStyle w:val="Heading1"/>
      </w:pPr>
      <w:r>
        <w:t xml:space="preserve">Deferred proofs and technical material</w:t>
      </w:r>
    </w:p>
    <w:bookmarkStart w:id="126"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6"/>
    <w:bookmarkStart w:id="127"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27"/>
    <w:bookmarkStart w:id="128"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28"/>
    <w:bookmarkStart w:id="129"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w:t>
      </w:r>
      <w:hyperlink w:anchor="ref-clopperpearson1934">
        <w:r>
          <w:rPr>
            <w:rStyle w:val="Hyperlink"/>
          </w:rPr>
          <w:t xml:space="preserve">Clopper and Pearson 1934</w:t>
        </w:r>
      </w:hyperlink>
      <w:r>
        <w:t xml:space="preserve">)</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29"/>
    <w:bookmarkStart w:id="130"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0"/>
    <w:bookmarkStart w:id="131"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monotone-submodular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1"/>
    <w:bookmarkStart w:id="133" w:name="why-a-naive-dkw-bound-fails"/>
    <w:p>
      <w:pPr>
        <w:pStyle w:val="Heading2"/>
      </w:pPr>
      <w:r>
        <w:t xml:space="preserve">Why a naive DKW bound fails</w:t>
      </w:r>
    </w:p>
    <w:bookmarkStart w:id="132" w:name="rem:dkw"/>
    <w:p>
      <w:pPr>
        <w:pStyle w:val="FirstParagraph"/>
      </w:pPr>
      <w:r>
        <w:rPr>
          <w:i/>
          <w:iCs/>
        </w:rPr>
        <w:t xml:space="preserve">Remark 6</w:t>
      </w:r>
      <w:r>
        <w:t xml:space="preserve"> </w:t>
      </w:r>
      <w:r>
        <w:t xml:space="preserve">(Why a naive DKW bound fails).</w:t>
      </w:r>
      <w:r>
        <w:t xml:space="preserve"> </w:t>
      </w:r>
      <w:r>
        <w:t xml:space="preserve"> </w:t>
      </w:r>
      <w:r>
        <w:t xml:space="preserve">The Dvoretzky–Kiefer–Wolfowitz inequality </w:t>
      </w:r>
      <w:r>
        <w:t xml:space="preserve">(</w:t>
      </w:r>
      <w:hyperlink w:anchor="ref-dvoretzky1956">
        <w:r>
          <w:rPr>
            <w:rStyle w:val="Hyperlink"/>
          </w:rPr>
          <w:t xml:space="preserve">Dvoretzky et al. 1956</w:t>
        </w:r>
      </w:hyperlink>
      <w:r>
        <w:t xml:space="preserve">)</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32"/>
    <w:bookmarkEnd w:id="133"/>
    <w:bookmarkStart w:id="135" w:name="relation-to-llm-evaluation-statistics"/>
    <w:p>
      <w:pPr>
        <w:pStyle w:val="Heading2"/>
      </w:pPr>
      <w:r>
        <w:t xml:space="preserve">Relation to LLM-evaluation statistics</w:t>
      </w:r>
    </w:p>
    <w:bookmarkStart w:id="134" w:name="rem:evalstats"/>
    <w:p>
      <w:pPr>
        <w:pStyle w:val="FirstParagraph"/>
      </w:pPr>
      <w:r>
        <w:rPr>
          <w:i/>
          <w:iCs/>
        </w:rPr>
        <w:t xml:space="preserve">Remark 7</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w:t>
      </w:r>
      <w:hyperlink w:anchor="ref-miller2024errorbars">
        <w:r>
          <w:rPr>
            <w:rStyle w:val="Hyperlink"/>
          </w:rPr>
          <w:t xml:space="preserve">Miller 2024</w:t>
        </w:r>
      </w:hyperlink>
      <w:r>
        <w:t xml:space="preserve">)</w:t>
      </w:r>
      <w:r>
        <w:t xml:space="preserve">, two-sample tests verifying behavioral differences between</w:t>
      </w:r>
      <w:r>
        <w:t xml:space="preserve"> </w:t>
      </w:r>
      <w:r>
        <w:t xml:space="preserve">API-served models </w:t>
      </w:r>
      <w:r>
        <w:t xml:space="preserve">(</w:t>
      </w:r>
      <w:hyperlink w:anchor="ref-gao2024modelequality">
        <w:r>
          <w:rPr>
            <w:rStyle w:val="Hyperlink"/>
          </w:rPr>
          <w:t xml:space="preserve">Gao et al. 2025</w:t>
        </w:r>
      </w:hyperlink>
      <w:r>
        <w:t xml:space="preserve">)</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w:t>
      </w:r>
      <w:hyperlink w:anchor="ref-bowyer2025clt">
        <w:r>
          <w:rPr>
            <w:rStyle w:val="Hyperlink"/>
          </w:rPr>
          <w:t xml:space="preserve">Bowyer et al. 2025</w:t>
        </w:r>
      </w:hyperlink>
      <w:r>
        <w:t xml:space="preserve">)</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4"/>
    <w:bookmarkEnd w:id="135"/>
    <w:bookmarkStart w:id="136" w:name="subsec:power"/>
    <w:p>
      <w:pPr>
        <w:pStyle w:val="Heading2"/>
      </w:pPr>
      <w:r>
        <w:t xml:space="preserve">Power and the role of</w:t>
      </w:r>
      <w:r>
        <w:t xml:space="preserve"> </w:t>
      </w:r>
      <m:oMath>
        <m:r>
          <m:t>n</m:t>
        </m:r>
      </m:oMath>
    </w:p>
    <w:p>
      <w:pPr>
        <w:pStyle w:val="FirstParagraph"/>
      </w:pPr>
      <w:r>
        <w:t xml:space="preserve">The two verifications have different effective-</w:t>
      </w:r>
      <m:oMath>
        <m:r>
          <m:t>n</m:t>
        </m:r>
      </m:oMath>
      <w:r>
        <w:t xml:space="preserve"> </w:t>
      </w:r>
      <w:r>
        <w:t xml:space="preserve">requirements, which is why at a common</w:t>
      </w:r>
      <w:r>
        <w:t xml:space="preserve"> </w:t>
      </w:r>
      <m:oMath>
        <m:r>
          <m:t>n</m:t>
        </m:r>
        <m:r>
          <m:rPr>
            <m:sty m:val="p"/>
          </m:rPr>
          <m:t>=</m:t>
        </m:r>
        <m:r>
          <m:t>40</m:t>
        </m:r>
      </m:oMath>
      <w:r>
        <w:t xml:space="preserve"> </w:t>
      </w:r>
      <w:r>
        <w:t xml:space="preserve">Opus verifies incomparability but not interference. For a stark cell with empirical</w:t>
      </w:r>
      <w:r>
        <w:t xml:space="preserve"> </w:t>
      </w:r>
      <w:r>
        <w:t xml:space="preserve">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 a</w:t>
      </w:r>
      <w:r>
        <w:t xml:space="preserve"> </w:t>
      </w:r>
      <w:r>
        <w:t xml:space="preserve">one-sided bound that clears</w:t>
      </w:r>
      <w:r>
        <w:t xml:space="preserve"> </w:t>
      </w:r>
      <m:oMath>
        <m:r>
          <m:t>0</m:t>
        </m:r>
      </m:oMath>
      <w:r>
        <w:t xml:space="preserve"> </w:t>
      </w:r>
      <w:r>
        <w:t xml:space="preserve">even at small</w:t>
      </w:r>
      <w:r>
        <w:t xml:space="preserve"> </w:t>
      </w:r>
      <m:oMath>
        <m:r>
          <m:t>n</m:t>
        </m:r>
      </m:oMath>
      <w:r>
        <w:t xml:space="preserve">: the incomparability verification (5) is</w:t>
      </w:r>
      <w:r>
        <w:t xml:space="preserve"> </w:t>
      </w:r>
      <w:r>
        <w:t xml:space="preserve">carried by such stark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 versa), so it is easy</w:t>
      </w:r>
      <w:r>
        <w:t xml:space="preserve"> </w:t>
      </w:r>
      <w:r>
        <w:t xml:space="preserve">to clear. The interference verification (7) mixes a possibly-intermediate</w:t>
      </w:r>
      <w:r>
        <w:t xml:space="preserve"> </w:t>
      </w:r>
      <w:r>
        <w:rPr>
          <w:rStyle w:val="VerbatimChar"/>
        </w:rPr>
        <w:t xml:space="preserve">none</w:t>
      </w:r>
      <w:r>
        <w:t xml:space="preserve"> </w:t>
      </w:r>
      <w:r>
        <w:t xml:space="preserve">baseline and the</w:t>
      </w:r>
      <w:r>
        <w:t xml:space="preserve"> </w:t>
      </w:r>
      <m:oMath>
        <m:sSub>
          <m:e>
            <m:r>
              <m:t>W</m:t>
            </m:r>
          </m:e>
          <m:sub>
            <m:r>
              <m:t>1</m:t>
            </m:r>
            <m:r>
              <m:rPr>
                <m:sty m:val="p"/>
              </m:rPr>
              <m:t>+</m:t>
            </m:r>
          </m:sub>
        </m:sSub>
      </m:oMath>
      <w:r>
        <w:t xml:space="preserve"> </w:t>
      </w:r>
      <w:r>
        <w:t xml:space="preserve">arm; with non-endpoint proportions (as for Opus, whose</w:t>
      </w:r>
      <w:r>
        <w:t xml:space="preserve"> </w:t>
      </w:r>
      <w:r>
        <w:t xml:space="preserve">collapse is milder and whose</w:t>
      </w:r>
      <w:r>
        <w:t xml:space="preserve"> </w:t>
      </w:r>
      <w:r>
        <w:rPr>
          <w:rStyle w:val="VerbatimChar"/>
        </w:rPr>
        <w:t xml:space="preserve">api_argorder</w:t>
      </w:r>
      <w:r>
        <w:t xml:space="preserve"> </w:t>
      </w:r>
      <w:r>
        <w:t xml:space="preserve">baseline leaks) the four-term interval stays</w:t>
      </w:r>
      <w:r>
        <w:t xml:space="preserve"> </w:t>
      </w:r>
      <w:r>
        <w:t xml:space="preserve">wide, so the same</w:t>
      </w:r>
      <w:r>
        <w:t xml:space="preserve"> </w:t>
      </w:r>
      <m:oMath>
        <m:r>
          <m:t>n</m:t>
        </m:r>
      </m:oMath>
      <w:r>
        <w:t xml:space="preserve"> </w:t>
      </w:r>
      <w:r>
        <w:t xml:space="preserve">that verifies incomparability need not verify interference.</w:t>
      </w:r>
    </w:p>
    <w:bookmarkEnd w:id="136"/>
    <w:bookmarkEnd w:id="137"/>
    <w:bookmarkStart w:id="144" w:name="app:record"/>
    <w:p>
      <w:pPr>
        <w:pStyle w:val="Heading1"/>
      </w:pPr>
      <w:r>
        <w:t xml:space="preserve">Extended experimental record</w:t>
      </w:r>
    </w:p>
    <w:bookmarkStart w:id="138"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38"/>
    <w:bookmarkStart w:id="143"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39"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Ψ</m:t>
            </m:r>
          </m:e>
          <m:sub>
            <m:r>
              <m:t>T</m:t>
            </m:r>
          </m:sub>
        </m:sSub>
        <m:r>
          <m:rPr>
            <m:sty m:val="p"/>
          </m:rPr>
          <m:t>=</m:t>
        </m:r>
        <m:r>
          <m:rPr>
            <m:sty m:val="p"/>
          </m:rPr>
          <m:t>−</m:t>
        </m:r>
        <m:r>
          <m:t>0.53</m:t>
        </m:r>
      </m:oMath>
      <w:r>
        <w:t xml:space="preserve">); re-running the four arms of the contract cell at</w:t>
      </w:r>
      <w:r>
        <w:t xml:space="preserve"> </w:t>
      </w:r>
      <m:oMath>
        <m:r>
          <m:t>n</m:t>
        </m:r>
        <m:r>
          <m:rPr>
            <m:sty m:val="p"/>
          </m:rPr>
          <m:t>=</m:t>
        </m:r>
        <m:r>
          <m:t>80</m:t>
        </m:r>
      </m:oMath>
      <w:r>
        <w:t xml:space="preserve"> </w:t>
      </w:r>
      <w:r>
        <w:t xml:space="preserve">shows the collapse is stable (</w:t>
      </w:r>
      <m:oMath>
        <m:r>
          <m:t>80</m:t>
        </m:r>
        <m:r>
          <m:rPr>
            <m:sty m:val="p"/>
          </m:rPr>
          <m:t>%</m:t>
        </m:r>
        <m:r>
          <m:t>​</m:t>
        </m:r>
        <m:r>
          <m:rPr>
            <m:sty m:val="p"/>
          </m:rPr>
          <m:t>→</m:t>
        </m:r>
        <m:r>
          <m:t>​</m:t>
        </m:r>
        <m:r>
          <m:t>29</m:t>
        </m:r>
        <m:r>
          <m:rPr>
            <m:sty m:val="p"/>
          </m:rPr>
          <m:t>%</m:t>
        </m:r>
      </m:oMath>
      <w:r>
        <w:t xml:space="preserve">,</w:t>
      </w:r>
      <w:r>
        <w:t xml:space="preserve"> </w:t>
      </w:r>
      <m:oMath>
        <m:sSub>
          <m:e>
            <m:r>
              <m:rPr>
                <m:sty m:val="p"/>
              </m:rPr>
              <m:t>Ψ</m:t>
            </m:r>
          </m:e>
          <m:sub>
            <m:r>
              <m:t>T</m:t>
            </m:r>
          </m:sub>
        </m:sSub>
        <m:r>
          <m:rPr>
            <m:sty m:val="p"/>
          </m:rPr>
          <m:t>=</m:t>
        </m:r>
        <m:r>
          <m:rPr>
            <m:sty m:val="p"/>
          </m:rPr>
          <m:t>−</m:t>
        </m:r>
        <m:r>
          <m:t>0.51</m:t>
        </m:r>
      </m:oMath>
      <w:r>
        <w:t xml:space="preserve">) with Clopper–Pearson upper</w:t>
      </w:r>
      <w:r>
        <w:t xml:space="preserve"> </w:t>
      </w:r>
      <w:r>
        <w:t xml:space="preserve">bound</w:t>
      </w:r>
      <w:r>
        <w:t xml:space="preserve"> </w:t>
      </w:r>
      <m:oMath>
        <m:r>
          <m:rPr>
            <m:sty m:val="p"/>
          </m:rPr>
          <m:t>−</m:t>
        </m:r>
        <m:r>
          <m:t>0.21</m:t>
        </m:r>
      </m:oMath>
      <w:r>
        <w:t xml:space="preserve">, which verifies</w:t>
      </w:r>
      <w:r>
        <w:t xml:space="preserve"> </w:t>
      </w:r>
      <w:r>
        <w:rPr>
          <w:i/>
          <w:iCs/>
        </w:rPr>
        <w:t xml:space="preserve">strictly negative</w:t>
      </w:r>
      <w:r>
        <w:t xml:space="preserve"> </w:t>
      </w:r>
      <w:r>
        <w:t xml:space="preserve">interference (</w:t>
      </w:r>
      <m:oMath>
        <m:sSub>
          <m:e>
            <m:r>
              <m:rPr>
                <m:sty m:val="p"/>
              </m:rPr>
              <m:t>Ψ</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w:t>
      </w:r>
      <w:r>
        <w:t xml:space="preserve"> </w:t>
      </w:r>
      <w:r>
        <w:t xml:space="preserve">does not clear the pre-registered magnitude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 versus pair-1’s</w:t>
      </w:r>
      <w:r>
        <w:t xml:space="preserve"> </w:t>
      </w:r>
      <m:oMath>
        <m:r>
          <m:rPr>
            <m:sty m:val="p"/>
          </m:rPr>
          <m:t>∼</m:t>
        </m:r>
        <m:r>
          <m:t>100</m:t>
        </m:r>
        <m:r>
          <m:rPr>
            <m:sty m:val="p"/>
          </m:rPr>
          <m:t>%</m:t>
        </m:r>
      </m:oMath>
      <w:r>
        <w:t xml:space="preserve">), which keeps the four-term bound wide</w:t>
      </w:r>
      <w:r>
        <w:t xml:space="preserve"> </w:t>
      </w:r>
      <w:r>
        <w:t xml:space="preserve">regardless of</w:t>
      </w:r>
      <w:r>
        <w:t xml:space="preserve"> </w:t>
      </w:r>
      <m:oMath>
        <m:r>
          <m:t>n</m:t>
        </m:r>
      </m:oMath>
      <w:r>
        <w:t xml:space="preserve">. We report pair-2 interference as a verified 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39"/>
    <w:bookmarkStart w:id="140"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w:t>
      </w:r>
      <w:hyperlink w:anchor="ref-contexthurts2025">
        <w:r>
          <w:rPr>
            <w:rStyle w:val="Hyperlink"/>
          </w:rPr>
          <w:t xml:space="preserve">Du et al. 2025</w:t>
        </w:r>
      </w:hyperlink>
      <w:r>
        <w:t xml:space="preserve">)</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Ψ</m:t>
            </m:r>
          </m:e>
          <m:sub>
            <m:r>
              <m:t>T</m:t>
            </m:r>
          </m:sub>
        </m:sSub>
        <m:r>
          <m:rPr>
            <m:sty m:val="p"/>
          </m:rPr>
          <m:t>=</m:t>
        </m:r>
        <m:r>
          <m:rPr>
            <m:sty m:val="p"/>
          </m:rPr>
          <m:t>−</m:t>
        </m:r>
        <m:r>
          <m:t>0.82</m:t>
        </m:r>
      </m:oMath>
      <w:r>
        <w:t xml:space="preserve">, upper bound</w:t>
      </w:r>
      <w:r>
        <w:t xml:space="preserve"> </w:t>
      </w:r>
      <m:oMath>
        <m:r>
          <m:rPr>
            <m:sty m:val="p"/>
          </m:rPr>
          <m:t>−</m:t>
        </m:r>
        <m:r>
          <m:t>0.41</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0"/>
    <w:bookmarkStart w:id="141"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1"/>
    <w:bookmarkStart w:id="142"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42"/>
    <w:bookmarkEnd w:id="143"/>
    <w:bookmarkEnd w:id="144"/>
    <w:bookmarkStart w:id="236"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5">
        <w:r>
          <w:rPr>
            <w:rStyle w:val="Hyperlink"/>
          </w:rPr>
          <w:t xml:space="preserve">https://github.com/abilous-ti/blackwell-llm-context</w:t>
        </w:r>
      </w:hyperlink>
      <w:r>
        <w:t xml:space="preserve">. The harness (</w:t>
      </w:r>
      <w:r>
        <w:rPr>
          <w:rStyle w:val="VerbatimChar"/>
        </w:rPr>
        <w:t xml:space="preserve">tokenbench/measure_blackwell.py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5"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5"/>
    <w:bookmarkStart w:id="146"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w:t>
      </w:r>
      <w:r>
        <w:t xml:space="preserve"> </w:t>
      </w:r>
      <w:r>
        <w:t xml:space="preserve">a whole arm was hit by a transport-outage window, we re-ran that arm in isolation (the Opus</w:t>
      </w:r>
      <w:r>
        <w:t xml:space="preserve"> </w:t>
      </w:r>
      <m:oMath>
        <m:sSub>
          <m:e>
            <m:r>
              <m:t>W</m:t>
            </m:r>
          </m:e>
          <m:sub>
            <m:r>
              <m:t>1</m:t>
            </m:r>
            <m:r>
              <m:rPr>
                <m:sty m:val="p"/>
              </m:rPr>
              <m:t>+</m:t>
            </m:r>
          </m:sub>
        </m:sSub>
      </m:oMath>
      <w:r>
        <w:t xml:space="preserve"> </w:t>
      </w:r>
      <w:r>
        <w:t xml:space="preserve">arm; noted in the artifact list), so no reported cell mixes outage-scored draws with real ones.</w:t>
      </w:r>
    </w:p>
    <w:bookmarkEnd w:id="146"/>
    <w:bookmarkStart w:id="147"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5">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tokenbench/measure_reranker_trap.py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tokenbench/measure_dense_trap.py</w:t>
      </w:r>
      <w:r>
        <w:t xml:space="preserve">). The full per-cell record is in</w:t>
      </w:r>
      <w:r>
        <w:t xml:space="preserve"> </w:t>
      </w:r>
      <w:r>
        <w:rPr>
          <w:rStyle w:val="VerbatimChar"/>
        </w:rPr>
        <w:t xml:space="preserve">EXPERIMENT-BLACKWELL.md</w:t>
      </w:r>
      <w:r>
        <w:t xml:space="preserve"> </w:t>
      </w:r>
      <w:r>
        <w:t xml:space="preserve">and the theory hardening (formalization and proof sketches) in</w:t>
      </w:r>
      <w:r>
        <w:t xml:space="preserve"> </w:t>
      </w:r>
      <w:r>
        <w:rPr>
          <w:rStyle w:val="VerbatimChar"/>
        </w:rPr>
        <w:t xml:space="preserve">BLACKWELL.md</w:t>
      </w:r>
      <w:r>
        <w:t xml:space="preserve">.</w:t>
      </w:r>
    </w:p>
    <w:bookmarkEnd w:id="147"/>
    <w:bookmarkStart w:id="148"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48"/>
    <w:bookmarkStart w:id="235"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34" w:name="refs"/>
    <w:bookmarkStart w:id="150"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49">
        <w:r>
          <w:rPr>
            <w:rStyle w:val="Hyperlink"/>
          </w:rPr>
          <w:t xml:space="preserve">https://arxiv.org/abs/2512.23617</w:t>
        </w:r>
      </w:hyperlink>
      <w:r>
        <w:t xml:space="preserve">.</w:t>
      </w:r>
    </w:p>
    <w:bookmarkEnd w:id="150"/>
    <w:bookmarkStart w:id="152"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51">
        <w:r>
          <w:rPr>
            <w:rStyle w:val="Hyperlink"/>
          </w:rPr>
          <w:t xml:space="preserve">https://doi.org/10.1214/aoms/1177729032</w:t>
        </w:r>
      </w:hyperlink>
      <w:r>
        <w:t xml:space="preserve">.</w:t>
      </w:r>
    </w:p>
    <w:bookmarkEnd w:id="152"/>
    <w:bookmarkStart w:id="153"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53"/>
    <w:bookmarkStart w:id="155"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54">
        <w:r>
          <w:rPr>
            <w:rStyle w:val="Hyperlink"/>
          </w:rPr>
          <w:t xml:space="preserve">https://arxiv.org/abs/2503.01747</w:t>
        </w:r>
      </w:hyperlink>
      <w:r>
        <w:t xml:space="preserve">.</w:t>
      </w:r>
    </w:p>
    <w:bookmarkEnd w:id="155"/>
    <w:bookmarkStart w:id="157"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56">
        <w:r>
          <w:rPr>
            <w:rStyle w:val="Hyperlink"/>
          </w:rPr>
          <w:t xml:space="preserve">https://arxiv.org/abs/2411.01533</w:t>
        </w:r>
      </w:hyperlink>
      <w:r>
        <w:t xml:space="preserve">.</w:t>
      </w:r>
    </w:p>
    <w:bookmarkEnd w:id="157"/>
    <w:bookmarkStart w:id="159"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58">
        <w:r>
          <w:rPr>
            <w:rStyle w:val="Hyperlink"/>
          </w:rPr>
          <w:t xml:space="preserve">https://doi.org/10.1145/290941.291025</w:t>
        </w:r>
      </w:hyperlink>
      <w:r>
        <w:t xml:space="preserve">.</w:t>
      </w:r>
    </w:p>
    <w:bookmarkEnd w:id="159"/>
    <w:bookmarkStart w:id="161"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60">
        <w:r>
          <w:rPr>
            <w:rStyle w:val="Hyperlink"/>
          </w:rPr>
          <w:t xml:space="preserve">https://arxiv.org/abs/2507.03279</w:t>
        </w:r>
      </w:hyperlink>
      <w:r>
        <w:t xml:space="preserve">.</w:t>
      </w:r>
    </w:p>
    <w:bookmarkEnd w:id="161"/>
    <w:bookmarkStart w:id="163"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62">
        <w:r>
          <w:rPr>
            <w:rStyle w:val="Hyperlink"/>
          </w:rPr>
          <w:t xml:space="preserve">https://arxiv.org/abs/2508.21184</w:t>
        </w:r>
      </w:hyperlink>
      <w:r>
        <w:t xml:space="preserve">.</w:t>
      </w:r>
    </w:p>
    <w:bookmarkEnd w:id="163"/>
    <w:bookmarkStart w:id="165"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64">
        <w:r>
          <w:rPr>
            <w:rStyle w:val="Hyperlink"/>
          </w:rPr>
          <w:t xml:space="preserve">https://doi.org/10.1093/biomet/26.4.404</w:t>
        </w:r>
      </w:hyperlink>
      <w:r>
        <w:t xml:space="preserve">.</w:t>
      </w:r>
    </w:p>
    <w:bookmarkEnd w:id="165"/>
    <w:bookmarkStart w:id="167"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66">
        <w:r>
          <w:rPr>
            <w:rStyle w:val="Hyperlink"/>
          </w:rPr>
          <w:t xml:space="preserve">https://arxiv.org/abs/2401.14887</w:t>
        </w:r>
      </w:hyperlink>
      <w:r>
        <w:t xml:space="preserve">.</w:t>
      </w:r>
    </w:p>
    <w:bookmarkEnd w:id="167"/>
    <w:bookmarkStart w:id="169"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68">
        <w:r>
          <w:rPr>
            <w:rStyle w:val="Hyperlink"/>
          </w:rPr>
          <w:t xml:space="preserve">https://arxiv.org/abs/2510.05381</w:t>
        </w:r>
      </w:hyperlink>
      <w:r>
        <w:t xml:space="preserve">.</w:t>
      </w:r>
    </w:p>
    <w:bookmarkEnd w:id="169"/>
    <w:bookmarkStart w:id="171"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70">
        <w:r>
          <w:rPr>
            <w:rStyle w:val="Hyperlink"/>
          </w:rPr>
          <w:t xml:space="preserve">https://doi.org/10.1214/aoms/1177728174</w:t>
        </w:r>
      </w:hyperlink>
      <w:r>
        <w:t xml:space="preserve">.</w:t>
      </w:r>
    </w:p>
    <w:bookmarkEnd w:id="171"/>
    <w:bookmarkStart w:id="172"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72"/>
    <w:bookmarkStart w:id="174"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73">
        <w:r>
          <w:rPr>
            <w:rStyle w:val="Hyperlink"/>
          </w:rPr>
          <w:t xml:space="preserve">https://arxiv.org/abs/2503.05491</w:t>
        </w:r>
      </w:hyperlink>
      <w:r>
        <w:t xml:space="preserve">.</w:t>
      </w:r>
    </w:p>
    <w:bookmarkEnd w:id="174"/>
    <w:bookmarkStart w:id="176"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75">
        <w:r>
          <w:rPr>
            <w:rStyle w:val="Hyperlink"/>
          </w:rPr>
          <w:t xml:space="preserve">https://doi.org/10.1007/s10791-008-9045-0</w:t>
        </w:r>
      </w:hyperlink>
      <w:r>
        <w:t xml:space="preserve">.</w:t>
      </w:r>
    </w:p>
    <w:bookmarkEnd w:id="176"/>
    <w:bookmarkStart w:id="178"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77">
        <w:r>
          <w:rPr>
            <w:rStyle w:val="Hyperlink"/>
          </w:rPr>
          <w:t xml:space="preserve">https://arxiv.org/abs/2410.20247</w:t>
        </w:r>
      </w:hyperlink>
      <w:r>
        <w:t xml:space="preserve">.</w:t>
      </w:r>
    </w:p>
    <w:bookmarkEnd w:id="178"/>
    <w:bookmarkStart w:id="180"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179">
        <w:r>
          <w:rPr>
            <w:rStyle w:val="Hyperlink"/>
          </w:rPr>
          <w:t xml:space="preserve">https://arxiv.org/abs/2002.08909</w:t>
        </w:r>
      </w:hyperlink>
      <w:r>
        <w:t xml:space="preserve">.</w:t>
      </w:r>
    </w:p>
    <w:bookmarkEnd w:id="180"/>
    <w:bookmarkStart w:id="182"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181">
        <w:r>
          <w:rPr>
            <w:rStyle w:val="Hyperlink"/>
          </w:rPr>
          <w:t xml:space="preserve">https://www.trychroma.com/research/context-rot</w:t>
        </w:r>
      </w:hyperlink>
      <w:r>
        <w:t xml:space="preserve">.</w:t>
      </w:r>
    </w:p>
    <w:bookmarkEnd w:id="182"/>
    <w:bookmarkStart w:id="184"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183">
        <w:r>
          <w:rPr>
            <w:rStyle w:val="Hyperlink"/>
          </w:rPr>
          <w:t xml:space="preserve">https://arxiv.org/abs/2510.00079</w:t>
        </w:r>
      </w:hyperlink>
      <w:r>
        <w:t xml:space="preserve">.</w:t>
      </w:r>
    </w:p>
    <w:bookmarkEnd w:id="184"/>
    <w:bookmarkStart w:id="186"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185">
        <w:r>
          <w:rPr>
            <w:rStyle w:val="Hyperlink"/>
          </w:rPr>
          <w:t xml:space="preserve">https://arxiv.org/abs/2410.05983</w:t>
        </w:r>
      </w:hyperlink>
      <w:r>
        <w:t xml:space="preserve">.</w:t>
      </w:r>
    </w:p>
    <w:bookmarkEnd w:id="186"/>
    <w:bookmarkStart w:id="188"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187">
        <w:r>
          <w:rPr>
            <w:rStyle w:val="Hyperlink"/>
          </w:rPr>
          <w:t xml:space="preserve">https://arxiv.org/abs/2411.06037</w:t>
        </w:r>
      </w:hyperlink>
      <w:r>
        <w:t xml:space="preserve">.</w:t>
      </w:r>
    </w:p>
    <w:bookmarkEnd w:id="188"/>
    <w:bookmarkStart w:id="190"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189">
        <w:r>
          <w:rPr>
            <w:rStyle w:val="Hyperlink"/>
          </w:rPr>
          <w:t xml:space="preserve">https://doi.org/10.1145/3397271.3401075</w:t>
        </w:r>
      </w:hyperlink>
      <w:r>
        <w:t xml:space="preserve">.</w:t>
      </w:r>
    </w:p>
    <w:bookmarkEnd w:id="190"/>
    <w:bookmarkStart w:id="192"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191">
        <w:r>
          <w:rPr>
            <w:rStyle w:val="Hyperlink"/>
          </w:rPr>
          <w:t xml:space="preserve">https://doi.org/10.1214/aoms/1177700372</w:t>
        </w:r>
      </w:hyperlink>
      <w:r>
        <w:t xml:space="preserve">.</w:t>
      </w:r>
    </w:p>
    <w:bookmarkEnd w:id="192"/>
    <w:bookmarkStart w:id="194"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193">
        <w:r>
          <w:rPr>
            <w:rStyle w:val="Hyperlink"/>
          </w:rPr>
          <w:t xml:space="preserve">https://doi.org/10.1007/978-1-4612-4946-7</w:t>
        </w:r>
      </w:hyperlink>
      <w:r>
        <w:t xml:space="preserve">.</w:t>
      </w:r>
    </w:p>
    <w:bookmarkEnd w:id="194"/>
    <w:bookmarkStart w:id="196"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195">
        <w:r>
          <w:rPr>
            <w:rStyle w:val="Hyperlink"/>
          </w:rPr>
          <w:t xml:space="preserve">https://arxiv.org/abs/2504.07104</w:t>
        </w:r>
      </w:hyperlink>
      <w:r>
        <w:t xml:space="preserve">.</w:t>
      </w:r>
    </w:p>
    <w:bookmarkEnd w:id="196"/>
    <w:bookmarkStart w:id="198"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197">
        <w:r>
          <w:rPr>
            <w:rStyle w:val="Hyperlink"/>
          </w:rPr>
          <w:t xml:space="preserve">https://arxiv.org/abs/2503.04388</w:t>
        </w:r>
      </w:hyperlink>
      <w:r>
        <w:t xml:space="preserve">.</w:t>
      </w:r>
    </w:p>
    <w:bookmarkEnd w:id="198"/>
    <w:bookmarkStart w:id="200"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199">
        <w:r>
          <w:rPr>
            <w:rStyle w:val="Hyperlink"/>
          </w:rPr>
          <w:t xml:space="preserve">https://arxiv.org/abs/2605.05716</w:t>
        </w:r>
      </w:hyperlink>
      <w:r>
        <w:t xml:space="preserve">.</w:t>
      </w:r>
    </w:p>
    <w:bookmarkEnd w:id="200"/>
    <w:bookmarkStart w:id="202"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01">
        <w:r>
          <w:rPr>
            <w:rStyle w:val="Hyperlink"/>
          </w:rPr>
          <w:t xml:space="preserve">https://arxiv.org/abs/2307.03172</w:t>
        </w:r>
      </w:hyperlink>
      <w:r>
        <w:t xml:space="preserve">.</w:t>
      </w:r>
    </w:p>
    <w:bookmarkEnd w:id="202"/>
    <w:bookmarkStart w:id="204"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03">
        <w:r>
          <w:rPr>
            <w:rStyle w:val="Hyperlink"/>
          </w:rPr>
          <w:t xml:space="preserve">https://arxiv.org/abs/2411.00640</w:t>
        </w:r>
      </w:hyperlink>
      <w:r>
        <w:t xml:space="preserve">.</w:t>
      </w:r>
    </w:p>
    <w:bookmarkEnd w:id="204"/>
    <w:bookmarkStart w:id="206"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05">
        <w:r>
          <w:rPr>
            <w:rStyle w:val="Hyperlink"/>
          </w:rPr>
          <w:t xml:space="preserve">https://arxiv.org/abs/2604.06621</w:t>
        </w:r>
      </w:hyperlink>
      <w:r>
        <w:t xml:space="preserve">.</w:t>
      </w:r>
    </w:p>
    <w:bookmarkEnd w:id="206"/>
    <w:bookmarkStart w:id="208"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07">
        <w:r>
          <w:rPr>
            <w:rStyle w:val="Hyperlink"/>
          </w:rPr>
          <w:t xml:space="preserve">https://arxiv.org/abs/2605.03534</w:t>
        </w:r>
      </w:hyperlink>
      <w:r>
        <w:t xml:space="preserve">.</w:t>
      </w:r>
    </w:p>
    <w:bookmarkEnd w:id="208"/>
    <w:bookmarkStart w:id="210"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09">
        <w:r>
          <w:rPr>
            <w:rStyle w:val="Hyperlink"/>
          </w:rPr>
          <w:t xml:space="preserve">https://doi.org/10.1108/eb026647</w:t>
        </w:r>
      </w:hyperlink>
      <w:r>
        <w:t xml:space="preserve">.</w:t>
      </w:r>
    </w:p>
    <w:bookmarkEnd w:id="210"/>
    <w:bookmarkStart w:id="212"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11">
        <w:r>
          <w:rPr>
            <w:rStyle w:val="Hyperlink"/>
          </w:rPr>
          <w:t xml:space="preserve">https://arxiv.org/abs/1402.4884</w:t>
        </w:r>
      </w:hyperlink>
      <w:r>
        <w:t xml:space="preserve">.</w:t>
      </w:r>
    </w:p>
    <w:bookmarkEnd w:id="212"/>
    <w:bookmarkStart w:id="214"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13">
        <w:r>
          <w:rPr>
            <w:rStyle w:val="Hyperlink"/>
          </w:rPr>
          <w:t xml:space="preserve">https://arxiv.org/abs/2302.00093</w:t>
        </w:r>
      </w:hyperlink>
      <w:r>
        <w:t xml:space="preserve">.</w:t>
      </w:r>
    </w:p>
    <w:bookmarkEnd w:id="214"/>
    <w:bookmarkStart w:id="216"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15">
        <w:r>
          <w:rPr>
            <w:rStyle w:val="Hyperlink"/>
          </w:rPr>
          <w:t xml:space="preserve">https://arxiv.org/abs/2301.12652</w:t>
        </w:r>
      </w:hyperlink>
      <w:r>
        <w:t xml:space="preserve">.</w:t>
      </w:r>
    </w:p>
    <w:bookmarkEnd w:id="216"/>
    <w:bookmarkStart w:id="218"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17">
        <w:r>
          <w:rPr>
            <w:rStyle w:val="Hyperlink"/>
          </w:rPr>
          <w:t xml:space="preserve">https://arxiv.org/abs/2304.09542</w:t>
        </w:r>
      </w:hyperlink>
      <w:r>
        <w:t xml:space="preserve">.</w:t>
      </w:r>
    </w:p>
    <w:bookmarkEnd w:id="218"/>
    <w:bookmarkStart w:id="220"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19">
        <w:r>
          <w:rPr>
            <w:rStyle w:val="Hyperlink"/>
          </w:rPr>
          <w:t xml:space="preserve">https://doi.org/10.1017/CBO9780511666353</w:t>
        </w:r>
      </w:hyperlink>
      <w:r>
        <w:t xml:space="preserve">.</w:t>
      </w:r>
    </w:p>
    <w:bookmarkEnd w:id="220"/>
    <w:bookmarkStart w:id="222"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21">
        <w:r>
          <w:rPr>
            <w:rStyle w:val="Hyperlink"/>
          </w:rPr>
          <w:t xml:space="preserve">https://arxiv.org/abs/2402.11750</w:t>
        </w:r>
      </w:hyperlink>
      <w:r>
        <w:t xml:space="preserve">.</w:t>
      </w:r>
    </w:p>
    <w:bookmarkEnd w:id="222"/>
    <w:bookmarkStart w:id="224"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23">
        <w:r>
          <w:rPr>
            <w:rStyle w:val="Hyperlink"/>
          </w:rPr>
          <w:t xml:space="preserve">https://arxiv.org/abs/2410.07523</w:t>
        </w:r>
      </w:hyperlink>
      <w:r>
        <w:t xml:space="preserve">.</w:t>
      </w:r>
    </w:p>
    <w:bookmarkEnd w:id="224"/>
    <w:bookmarkStart w:id="226"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25">
        <w:r>
          <w:rPr>
            <w:rStyle w:val="Hyperlink"/>
          </w:rPr>
          <w:t xml:space="preserve">https://arxiv.org/abs/2302.05698</w:t>
        </w:r>
      </w:hyperlink>
      <w:r>
        <w:t xml:space="preserve">.</w:t>
      </w:r>
    </w:p>
    <w:bookmarkEnd w:id="226"/>
    <w:bookmarkStart w:id="228"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27">
        <w:r>
          <w:rPr>
            <w:rStyle w:val="Hyperlink"/>
          </w:rPr>
          <w:t xml:space="preserve">https://arxiv.org/abs/2407.02485</w:t>
        </w:r>
      </w:hyperlink>
      <w:r>
        <w:t xml:space="preserve">.</w:t>
      </w:r>
    </w:p>
    <w:bookmarkEnd w:id="228"/>
    <w:bookmarkStart w:id="230"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29">
        <w:r>
          <w:rPr>
            <w:rStyle w:val="Hyperlink"/>
          </w:rPr>
          <w:t xml:space="preserve">https://arxiv.org/abs/2504.15630</w:t>
        </w:r>
      </w:hyperlink>
      <w:r>
        <w:t xml:space="preserve">.</w:t>
      </w:r>
    </w:p>
    <w:bookmarkEnd w:id="230"/>
    <w:bookmarkStart w:id="231"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31"/>
    <w:bookmarkStart w:id="233"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32">
        <w:r>
          <w:rPr>
            <w:rStyle w:val="Hyperlink"/>
          </w:rPr>
          <w:t xml:space="preserve">https://arxiv.org/abs/2405.18253</w:t>
        </w:r>
      </w:hyperlink>
      <w:r>
        <w:t xml:space="preserve">.</w:t>
      </w:r>
    </w:p>
    <w:bookmarkEnd w:id="233"/>
    <w:bookmarkEnd w:id="234"/>
    <w:bookmarkEnd w:id="235"/>
    <w:bookmarkEnd w:id="2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1" Target="https://arxiv.org/abs/1402.4884" TargetMode="External" /><Relationship Type="http://schemas.openxmlformats.org/officeDocument/2006/relationships/hyperlink" Id="rId179" Target="https://arxiv.org/abs/2002.08909" TargetMode="External" /><Relationship Type="http://schemas.openxmlformats.org/officeDocument/2006/relationships/hyperlink" Id="rId215" Target="https://arxiv.org/abs/2301.12652" TargetMode="External" /><Relationship Type="http://schemas.openxmlformats.org/officeDocument/2006/relationships/hyperlink" Id="rId213" Target="https://arxiv.org/abs/2302.00093" TargetMode="External" /><Relationship Type="http://schemas.openxmlformats.org/officeDocument/2006/relationships/hyperlink" Id="rId225" Target="https://arxiv.org/abs/2302.05698" TargetMode="External" /><Relationship Type="http://schemas.openxmlformats.org/officeDocument/2006/relationships/hyperlink" Id="rId217" Target="https://arxiv.org/abs/2304.09542" TargetMode="External" /><Relationship Type="http://schemas.openxmlformats.org/officeDocument/2006/relationships/hyperlink" Id="rId201" Target="https://arxiv.org/abs/2307.03172" TargetMode="External" /><Relationship Type="http://schemas.openxmlformats.org/officeDocument/2006/relationships/hyperlink" Id="rId166" Target="https://arxiv.org/abs/2401.14887" TargetMode="External" /><Relationship Type="http://schemas.openxmlformats.org/officeDocument/2006/relationships/hyperlink" Id="rId221" Target="https://arxiv.org/abs/2402.11750" TargetMode="External" /><Relationship Type="http://schemas.openxmlformats.org/officeDocument/2006/relationships/hyperlink" Id="rId232" Target="https://arxiv.org/abs/2405.18253" TargetMode="External" /><Relationship Type="http://schemas.openxmlformats.org/officeDocument/2006/relationships/hyperlink" Id="rId227" Target="https://arxiv.org/abs/2407.02485" TargetMode="External" /><Relationship Type="http://schemas.openxmlformats.org/officeDocument/2006/relationships/hyperlink" Id="rId185" Target="https://arxiv.org/abs/2410.05983" TargetMode="External" /><Relationship Type="http://schemas.openxmlformats.org/officeDocument/2006/relationships/hyperlink" Id="rId223" Target="https://arxiv.org/abs/2410.07523" TargetMode="External" /><Relationship Type="http://schemas.openxmlformats.org/officeDocument/2006/relationships/hyperlink" Id="rId177" Target="https://arxiv.org/abs/2410.20247" TargetMode="External" /><Relationship Type="http://schemas.openxmlformats.org/officeDocument/2006/relationships/hyperlink" Id="rId203" Target="https://arxiv.org/abs/2411.00640" TargetMode="External" /><Relationship Type="http://schemas.openxmlformats.org/officeDocument/2006/relationships/hyperlink" Id="rId156" Target="https://arxiv.org/abs/2411.01533" TargetMode="External" /><Relationship Type="http://schemas.openxmlformats.org/officeDocument/2006/relationships/hyperlink" Id="rId187" Target="https://arxiv.org/abs/2411.06037" TargetMode="External" /><Relationship Type="http://schemas.openxmlformats.org/officeDocument/2006/relationships/hyperlink" Id="rId154" Target="https://arxiv.org/abs/2503.01747" TargetMode="External" /><Relationship Type="http://schemas.openxmlformats.org/officeDocument/2006/relationships/hyperlink" Id="rId197" Target="https://arxiv.org/abs/2503.04388" TargetMode="External" /><Relationship Type="http://schemas.openxmlformats.org/officeDocument/2006/relationships/hyperlink" Id="rId173" Target="https://arxiv.org/abs/2503.05491" TargetMode="External" /><Relationship Type="http://schemas.openxmlformats.org/officeDocument/2006/relationships/hyperlink" Id="rId195" Target="https://arxiv.org/abs/2504.07104" TargetMode="External" /><Relationship Type="http://schemas.openxmlformats.org/officeDocument/2006/relationships/hyperlink" Id="rId229" Target="https://arxiv.org/abs/2504.15630" TargetMode="External" /><Relationship Type="http://schemas.openxmlformats.org/officeDocument/2006/relationships/hyperlink" Id="rId160" Target="https://arxiv.org/abs/2507.03279" TargetMode="External" /><Relationship Type="http://schemas.openxmlformats.org/officeDocument/2006/relationships/hyperlink" Id="rId162" Target="https://arxiv.org/abs/2508.21184" TargetMode="External" /><Relationship Type="http://schemas.openxmlformats.org/officeDocument/2006/relationships/hyperlink" Id="rId183" Target="https://arxiv.org/abs/2510.00079" TargetMode="External" /><Relationship Type="http://schemas.openxmlformats.org/officeDocument/2006/relationships/hyperlink" Id="rId168" Target="https://arxiv.org/abs/2510.05381" TargetMode="External" /><Relationship Type="http://schemas.openxmlformats.org/officeDocument/2006/relationships/hyperlink" Id="rId149" Target="https://arxiv.org/abs/2512.23617" TargetMode="External" /><Relationship Type="http://schemas.openxmlformats.org/officeDocument/2006/relationships/hyperlink" Id="rId205" Target="https://arxiv.org/abs/2604.06621" TargetMode="External" /><Relationship Type="http://schemas.openxmlformats.org/officeDocument/2006/relationships/hyperlink" Id="rId207" Target="https://arxiv.org/abs/2605.03534" TargetMode="External" /><Relationship Type="http://schemas.openxmlformats.org/officeDocument/2006/relationships/hyperlink" Id="rId199" Target="https://arxiv.org/abs/2605.05716" TargetMode="External" /><Relationship Type="http://schemas.openxmlformats.org/officeDocument/2006/relationships/hyperlink" Id="rId193" Target="https://doi.org/10.1007/978-1-4612-4946-7" TargetMode="External" /><Relationship Type="http://schemas.openxmlformats.org/officeDocument/2006/relationships/hyperlink" Id="rId175" Target="https://doi.org/10.1007/s10791-008-9045-0" TargetMode="External" /><Relationship Type="http://schemas.openxmlformats.org/officeDocument/2006/relationships/hyperlink" Id="rId219" Target="https://doi.org/10.1017/CBO9780511666353" TargetMode="External" /><Relationship Type="http://schemas.openxmlformats.org/officeDocument/2006/relationships/hyperlink" Id="rId164" Target="https://doi.org/10.1093/biomet/26.4.404" TargetMode="External" /><Relationship Type="http://schemas.openxmlformats.org/officeDocument/2006/relationships/hyperlink" Id="rId209" Target="https://doi.org/10.1108/eb026647" TargetMode="External" /><Relationship Type="http://schemas.openxmlformats.org/officeDocument/2006/relationships/hyperlink" Id="rId158" Target="https://doi.org/10.1145/290941.291025" TargetMode="External" /><Relationship Type="http://schemas.openxmlformats.org/officeDocument/2006/relationships/hyperlink" Id="rId189" Target="https://doi.org/10.1145/3397271.3401075" TargetMode="External" /><Relationship Type="http://schemas.openxmlformats.org/officeDocument/2006/relationships/hyperlink" Id="rId191" Target="https://doi.org/10.1214/aoms/1177700372" TargetMode="External" /><Relationship Type="http://schemas.openxmlformats.org/officeDocument/2006/relationships/hyperlink" Id="rId170" Target="https://doi.org/10.1214/aoms/1177728174" TargetMode="External" /><Relationship Type="http://schemas.openxmlformats.org/officeDocument/2006/relationships/hyperlink" Id="rId151" Target="https://doi.org/10.1214/aoms/1177729032" TargetMode="External" /><Relationship Type="http://schemas.openxmlformats.org/officeDocument/2006/relationships/hyperlink" Id="rId75" Target="https://github.com/abilous-ti/blackwell-llm-context" TargetMode="External" /><Relationship Type="http://schemas.openxmlformats.org/officeDocument/2006/relationships/hyperlink" Id="rId181"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211" Target="https://arxiv.org/abs/1402.4884" TargetMode="External" /><Relationship Type="http://schemas.openxmlformats.org/officeDocument/2006/relationships/hyperlink" Id="rId179" Target="https://arxiv.org/abs/2002.08909" TargetMode="External" /><Relationship Type="http://schemas.openxmlformats.org/officeDocument/2006/relationships/hyperlink" Id="rId215" Target="https://arxiv.org/abs/2301.12652" TargetMode="External" /><Relationship Type="http://schemas.openxmlformats.org/officeDocument/2006/relationships/hyperlink" Id="rId213" Target="https://arxiv.org/abs/2302.00093" TargetMode="External" /><Relationship Type="http://schemas.openxmlformats.org/officeDocument/2006/relationships/hyperlink" Id="rId225" Target="https://arxiv.org/abs/2302.05698" TargetMode="External" /><Relationship Type="http://schemas.openxmlformats.org/officeDocument/2006/relationships/hyperlink" Id="rId217" Target="https://arxiv.org/abs/2304.09542" TargetMode="External" /><Relationship Type="http://schemas.openxmlformats.org/officeDocument/2006/relationships/hyperlink" Id="rId201" Target="https://arxiv.org/abs/2307.03172" TargetMode="External" /><Relationship Type="http://schemas.openxmlformats.org/officeDocument/2006/relationships/hyperlink" Id="rId166" Target="https://arxiv.org/abs/2401.14887" TargetMode="External" /><Relationship Type="http://schemas.openxmlformats.org/officeDocument/2006/relationships/hyperlink" Id="rId221" Target="https://arxiv.org/abs/2402.11750" TargetMode="External" /><Relationship Type="http://schemas.openxmlformats.org/officeDocument/2006/relationships/hyperlink" Id="rId232" Target="https://arxiv.org/abs/2405.18253" TargetMode="External" /><Relationship Type="http://schemas.openxmlformats.org/officeDocument/2006/relationships/hyperlink" Id="rId227" Target="https://arxiv.org/abs/2407.02485" TargetMode="External" /><Relationship Type="http://schemas.openxmlformats.org/officeDocument/2006/relationships/hyperlink" Id="rId185" Target="https://arxiv.org/abs/2410.05983" TargetMode="External" /><Relationship Type="http://schemas.openxmlformats.org/officeDocument/2006/relationships/hyperlink" Id="rId223" Target="https://arxiv.org/abs/2410.07523" TargetMode="External" /><Relationship Type="http://schemas.openxmlformats.org/officeDocument/2006/relationships/hyperlink" Id="rId177" Target="https://arxiv.org/abs/2410.20247" TargetMode="External" /><Relationship Type="http://schemas.openxmlformats.org/officeDocument/2006/relationships/hyperlink" Id="rId203" Target="https://arxiv.org/abs/2411.00640" TargetMode="External" /><Relationship Type="http://schemas.openxmlformats.org/officeDocument/2006/relationships/hyperlink" Id="rId156" Target="https://arxiv.org/abs/2411.01533" TargetMode="External" /><Relationship Type="http://schemas.openxmlformats.org/officeDocument/2006/relationships/hyperlink" Id="rId187" Target="https://arxiv.org/abs/2411.06037" TargetMode="External" /><Relationship Type="http://schemas.openxmlformats.org/officeDocument/2006/relationships/hyperlink" Id="rId154" Target="https://arxiv.org/abs/2503.01747" TargetMode="External" /><Relationship Type="http://schemas.openxmlformats.org/officeDocument/2006/relationships/hyperlink" Id="rId197" Target="https://arxiv.org/abs/2503.04388" TargetMode="External" /><Relationship Type="http://schemas.openxmlformats.org/officeDocument/2006/relationships/hyperlink" Id="rId173" Target="https://arxiv.org/abs/2503.05491" TargetMode="External" /><Relationship Type="http://schemas.openxmlformats.org/officeDocument/2006/relationships/hyperlink" Id="rId195" Target="https://arxiv.org/abs/2504.07104" TargetMode="External" /><Relationship Type="http://schemas.openxmlformats.org/officeDocument/2006/relationships/hyperlink" Id="rId229" Target="https://arxiv.org/abs/2504.15630" TargetMode="External" /><Relationship Type="http://schemas.openxmlformats.org/officeDocument/2006/relationships/hyperlink" Id="rId160" Target="https://arxiv.org/abs/2507.03279" TargetMode="External" /><Relationship Type="http://schemas.openxmlformats.org/officeDocument/2006/relationships/hyperlink" Id="rId162" Target="https://arxiv.org/abs/2508.21184" TargetMode="External" /><Relationship Type="http://schemas.openxmlformats.org/officeDocument/2006/relationships/hyperlink" Id="rId183" Target="https://arxiv.org/abs/2510.00079" TargetMode="External" /><Relationship Type="http://schemas.openxmlformats.org/officeDocument/2006/relationships/hyperlink" Id="rId168" Target="https://arxiv.org/abs/2510.05381" TargetMode="External" /><Relationship Type="http://schemas.openxmlformats.org/officeDocument/2006/relationships/hyperlink" Id="rId149" Target="https://arxiv.org/abs/2512.23617" TargetMode="External" /><Relationship Type="http://schemas.openxmlformats.org/officeDocument/2006/relationships/hyperlink" Id="rId205" Target="https://arxiv.org/abs/2604.06621" TargetMode="External" /><Relationship Type="http://schemas.openxmlformats.org/officeDocument/2006/relationships/hyperlink" Id="rId207" Target="https://arxiv.org/abs/2605.03534" TargetMode="External" /><Relationship Type="http://schemas.openxmlformats.org/officeDocument/2006/relationships/hyperlink" Id="rId199" Target="https://arxiv.org/abs/2605.05716" TargetMode="External" /><Relationship Type="http://schemas.openxmlformats.org/officeDocument/2006/relationships/hyperlink" Id="rId193" Target="https://doi.org/10.1007/978-1-4612-4946-7" TargetMode="External" /><Relationship Type="http://schemas.openxmlformats.org/officeDocument/2006/relationships/hyperlink" Id="rId175" Target="https://doi.org/10.1007/s10791-008-9045-0" TargetMode="External" /><Relationship Type="http://schemas.openxmlformats.org/officeDocument/2006/relationships/hyperlink" Id="rId219" Target="https://doi.org/10.1017/CBO9780511666353" TargetMode="External" /><Relationship Type="http://schemas.openxmlformats.org/officeDocument/2006/relationships/hyperlink" Id="rId164" Target="https://doi.org/10.1093/biomet/26.4.404" TargetMode="External" /><Relationship Type="http://schemas.openxmlformats.org/officeDocument/2006/relationships/hyperlink" Id="rId209" Target="https://doi.org/10.1108/eb026647" TargetMode="External" /><Relationship Type="http://schemas.openxmlformats.org/officeDocument/2006/relationships/hyperlink" Id="rId158" Target="https://doi.org/10.1145/290941.291025" TargetMode="External" /><Relationship Type="http://schemas.openxmlformats.org/officeDocument/2006/relationships/hyperlink" Id="rId189" Target="https://doi.org/10.1145/3397271.3401075" TargetMode="External" /><Relationship Type="http://schemas.openxmlformats.org/officeDocument/2006/relationships/hyperlink" Id="rId191" Target="https://doi.org/10.1214/aoms/1177700372" TargetMode="External" /><Relationship Type="http://schemas.openxmlformats.org/officeDocument/2006/relationships/hyperlink" Id="rId170" Target="https://doi.org/10.1214/aoms/1177728174" TargetMode="External" /><Relationship Type="http://schemas.openxmlformats.org/officeDocument/2006/relationships/hyperlink" Id="rId151" Target="https://doi.org/10.1214/aoms/1177729032" TargetMode="External" /><Relationship Type="http://schemas.openxmlformats.org/officeDocument/2006/relationships/hyperlink" Id="rId75" Target="https://github.com/abilous-ti/blackwell-llm-context" TargetMode="External" /><Relationship Type="http://schemas.openxmlformats.org/officeDocument/2006/relationships/hyperlink" Id="rId181"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Department of Information Systems and Networks Lviv Polytechnic National University, Lviv, Ukraine ORCID: 0009-0006-5467-7932 andriy.bilous@uitware.com</dc:creator>
  <cp:keywords/>
  <dcterms:created xsi:type="dcterms:W3CDTF">2026-08-27T11:29:47Z</dcterms:created>
  <dcterms:modified xsi:type="dcterms:W3CDTF">2026-08-27T11:29:47Z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almost always done by scoring each candidate source with a single number and keeping the top few. We argue this is the wrong approach. The best context for one task is often useless for another. Two sources can be incomparable, in the exact sense of Blackwell’s 1953 comparison of experiments (Blackwell 1953), and when they are, no single relevance score can rank them correctly for every task. To test this on real systems we use a simple check: run each source through a battery of pass/fail tasks, compare the pass rates, and attach confidence intervals so the comparison is auditable (a distribution-free verification). On six language models from four vendors we confirm (\geq 90\% confidence, both directions) that two hand-built sources are incomparable. On a designed trap task a lexical score, two dense retrievers, and a cross-encoder reranker all prefer the wrong source; only a listwise LLM reranker, which reads the deciding detail, gets it right, exactly the boundary the theory predicts. We also find that adding a strictly larger source can hurt: pass rates fall from 100\% to as low as 0\%, and controls rule out word order and length as the cause. The lesson is practical: treat context selection as a partial-order problem, not a scalar ranking, and compare sources by a verified pass-rate test rather than a relevance number. A companion paper gives the selection rule this implies; scaling it to large corpora is the main open problem.</vt:lpwstr>
  </property>
  <property fmtid="{D5CDD505-2E9C-101B-9397-08002B2CF9AE}" pid="3" name="bibliography">
    <vt:lpwstr>blackwell-paper.bib</vt:lpwstr>
  </property>
  <property fmtid="{D5CDD505-2E9C-101B-9397-08002B2CF9AE}" pid="4" name="date">
    <vt:lpwstr/>
  </property>
  <property fmtid="{D5CDD505-2E9C-101B-9397-08002B2CF9AE}" pid="5" name="link-citations">
    <vt:lpwstr>True</vt:lpwstr>
  </property>
</Properties>
</file>