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w:t>
      </w:r>
      <w:r>
        <w:t xml:space="preserve"> </w:t>
      </w:r>
      <w:r>
        <w:t xml:space="preserve">Vasyl Lytvyn </w:t>
      </w:r>
      <m:oMath>
        <m:sSup>
          <m:e>
            <m:r>
              <m:t>​</m:t>
            </m:r>
          </m:e>
          <m:sup>
            <m:r>
              <m:t>1</m:t>
            </m:r>
          </m:sup>
        </m:sSup>
      </m:oMath>
      <w:r>
        <w:t xml:space="preserve">,</w:t>
      </w:r>
      <w:r>
        <w:t xml:space="preserve"> </w:t>
      </w:r>
      <w:r>
        <w:t xml:space="preserve">Petro Pukach </w:t>
      </w:r>
      <m:oMath>
        <m:sSup>
          <m:e>
            <m:r>
              <m:t>​</m:t>
            </m:r>
          </m:e>
          <m:sup>
            <m:r>
              <m:t>2</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Institute of Computer Science</w:t>
      </w:r>
      <w:r>
        <w:t xml:space="preserve"> </w:t>
      </w:r>
      <w:r>
        <w:t xml:space="preserve">and Information Technologies,</w:t>
      </w:r>
      <w:r>
        <w:br/>
      </w:r>
      <w:r>
        <w:t xml:space="preserve">Lviv Polytechnic National University, S. Bandery St. 12, 79013 Lviv, Ukraine;</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w:r>
        <w:rPr>
          <w:rStyle w:val="VerbatimChar"/>
        </w:rPr>
        <w:t xml:space="preserve">petro.y.pukach@lpnu.ua</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The padding arm</w:t>
      </w:r>
      <w:r>
        <w:t xml:space="preserve"> </w:t>
      </w:r>
      <m:oMath>
        <m:sSub>
          <m:e>
            <m:r>
              <m:t>W</m:t>
            </m:r>
          </m:e>
          <m:sub>
            <m:r>
              <m:rPr>
                <m:sty m:val="p"/>
              </m:rPr>
              <m:t>p</m:t>
            </m:r>
            <m:r>
              <m:rPr>
                <m:sty m:val="p"/>
              </m:rPr>
              <m:t>a</m:t>
            </m:r>
            <m:r>
              <m:rPr>
                <m:sty m:val="p"/>
              </m:rPr>
              <m:t>d</m:t>
            </m:r>
          </m:sub>
        </m:sSub>
      </m:oMath>
      <w:r>
        <w:t xml:space="preserve"> </w:t>
      </w:r>
      <w:r>
        <w:t xml:space="preserve">of</w:t>
      </w:r>
      <w:r>
        <w:t xml:space="preserve"> </w:t>
      </w:r>
      <w:r>
        <w:t xml:space="preserve">Appendix B reveals no coordinate any verifier checks, so it is Blackwell-equivalent</w:t>
      </w:r>
      <w:r>
        <w:t xml:space="preserve"> </w:t>
      </w:r>
      <w:r>
        <w:t xml:space="preserve">to</w:t>
      </w:r>
      <w:r>
        <w:t xml:space="preserve"> </w:t>
      </w:r>
      <m:oMath>
        <m:sSub>
          <m:e>
            <m:r>
              <m:t>W</m:t>
            </m:r>
          </m:e>
          <m:sub>
            <m:r>
              <m:t>1</m:t>
            </m:r>
          </m:sub>
        </m:sSub>
      </m:oMath>
      <w:r>
        <w:t xml:space="preserve">, yet the two score</w:t>
      </w:r>
      <w:r>
        <w:t xml:space="preserve"> </w:t>
      </w:r>
      <m:oMath>
        <m:r>
          <m:t>65</m:t>
        </m:r>
        <m:r>
          <m:rPr>
            <m:sty m:val="p"/>
          </m:rPr>
          <m:t>%</m:t>
        </m:r>
      </m:oMath>
      <w:r>
        <w:t xml:space="preserve"> </w:t>
      </w:r>
      <w:r>
        <w:t xml:space="preserve">and</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The</w:t>
      </w:r>
      <w:r>
        <w:t xml:space="preserve"> </w:t>
      </w:r>
      <m:oMath>
        <m:sSub>
          <m:e>
            <m:r>
              <m:t>δ</m:t>
            </m:r>
          </m:e>
          <m:sub>
            <m:r>
              <m:t>M</m:t>
            </m:r>
          </m:sub>
        </m:sSub>
      </m:oMath>
      <w:r>
        <w:t xml:space="preserve">-restricted order of §4.3 is therefore emphatically not read on the</w:t>
      </w:r>
      <w:r>
        <w:t xml:space="preserve"> </w:t>
      </w:r>
      <w:r>
        <w:t xml:space="preserve">quotient, and that non-invariance is what the padding control measures.</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4"/>
    <w:bookmarkEnd w:id="45"/>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9"/>
    <w:bookmarkEnd w:id="50"/>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bookmarkStart w:id="52"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2"/>
    <w:bookmarkStart w:id="53"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3"/>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1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End w:id="83"/>
    <w:bookmarkStart w:id="10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5"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7"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2"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0.744</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0.744</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90"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90"/>
    <w:bookmarkStart w:id="91"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1"/>
    <w:bookmarkEnd w:id="92"/>
    <w:bookmarkStart w:id="93"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3"/>
    <w:bookmarkStart w:id="94"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in an</w:t>
      </w:r>
      <w:r>
        <w:t xml:space="preserve"> </w:t>
      </w:r>
      <w:r>
        <w:rPr>
          <w:i/>
          <w:iCs/>
        </w:rPr>
        <w:t xml:space="preserve">agentic</w:t>
      </w:r>
      <w:r>
        <w:t xml:space="preserve"> </w:t>
      </w:r>
      <w:r>
        <w:t xml:space="preserve">Haiku run at</w:t>
      </w:r>
      <w:r>
        <w:t xml:space="preserve"> </w:t>
      </w:r>
      <m:oMath>
        <m:r>
          <m:t>n</m:t>
        </m:r>
        <m:r>
          <m:rPr>
            <m:sty m:val="p"/>
          </m:rPr>
          <m:t>=</m:t>
        </m:r>
        <m:r>
          <m:t>80</m:t>
        </m:r>
      </m:oMath>
      <w:r>
        <w:t xml:space="preserve"> </w:t>
      </w:r>
      <w:r>
        <w:t xml:space="preserve">on the full battery that predates the single-shot regime of the main table</w:t>
      </w:r>
      <w:r>
        <w:t xml:space="preserve"> </w:t>
      </w:r>
      <w:r>
        <w:t xml:space="preserve">(Appendix C). Reversing the 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there either:</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clearing</w:t>
      </w:r>
      <w:r>
        <w:t xml:space="preserve"> </w:t>
      </w:r>
      <m:oMath>
        <m:r>
          <m:rPr>
            <m:sty m:val="p"/>
          </m:rPr>
          <m:t>−</m:t>
        </m:r>
        <m:r>
          <m:t>τ</m:t>
        </m:r>
      </m:oMath>
      <w:r>
        <w:t xml:space="preserve"> </w:t>
      </w:r>
      <w:r>
        <w:t xml:space="preserve">(upper 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within that run the</w:t>
      </w:r>
      <w:r>
        <w:t xml:space="preserve"> </w:t>
      </w:r>
      <w:r>
        <w:t xml:space="preserve">collapse is not a pure primacy or recency effect. Order does move the magnitude, by</w:t>
      </w:r>
      <w:r>
        <w:t xml:space="preserve"> </w:t>
      </w:r>
      <m:oMath>
        <m:r>
          <m:rPr>
            <m:sty m:val="p"/>
          </m:rPr>
          <m:t>−</m:t>
        </m:r>
        <m:r>
          <m:t>22.5</m:t>
        </m:r>
      </m:oMath>
      <w:r>
        <w:t xml:space="preserve"> </w:t>
      </w:r>
      <w:r>
        <w:t xml:space="preserve">and</w:t>
      </w:r>
      <w:r>
        <w:t xml:space="preserve"> </w:t>
      </w:r>
      <m:oMath>
        <m:r>
          <m:rPr>
            <m:sty m:val="p"/>
          </m:rPr>
          <m:t>+</m:t>
        </m:r>
        <m:r>
          <m:t>20</m:t>
        </m:r>
      </m:oMath>
      <w:r>
        <w:t xml:space="preserve"> </w:t>
      </w:r>
      <w:r>
        <w:t xml:space="preserve">percentage points between the two orderings, so a positional contribution to the</w:t>
      </w:r>
      <w:r>
        <w:t xml:space="preserve"> </w:t>
      </w:r>
      <w:r>
        <w:rPr>
          <w:i/>
          <w:iCs/>
        </w:rPr>
        <w:t xml:space="preserve">size</w:t>
      </w:r>
      <w:r>
        <w:t xml:space="preserve"> </w:t>
      </w:r>
      <w:r>
        <w:t xml:space="preserve">of the harm is not excluded, only a positional explanation of its existence. Because</w:t>
      </w:r>
      <w:r>
        <w:t xml:space="preserve"> </w:t>
      </w:r>
      <w:r>
        <w:t xml:space="preserve">the run is agentic and the main table is single-shot, we report this as an auxiliary control</w:t>
      </w:r>
      <w:r>
        <w:t xml:space="preserve"> </w:t>
      </w:r>
      <w:r>
        <w:t xml:space="preserve">rather than as part of the six-model record.</w:t>
      </w:r>
    </w:p>
    <w:bookmarkEnd w:id="94"/>
    <w:bookmarkStart w:id="95"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5"/>
    <w:bookmarkStart w:id="96"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6"/>
    <w:bookmarkEnd w:id="97"/>
    <w:bookmarkStart w:id="9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8"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8"/>
    <w:bookmarkEnd w:id="99"/>
    <w:bookmarkEnd w:id="100"/>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1"/>
    <w:bookmarkEnd w:id="102"/>
    <w:bookmarkStart w:id="10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3"/>
    <w:bookmarkEnd w:id="104"/>
    <w:bookmarkEnd w:id="105"/>
    <w:bookmarkEnd w:id="106"/>
    <w:bookmarkStart w:id="10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7"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8"/>
    <w:bookmarkEnd w:id="109"/>
    <w:bookmarkEnd w:id="110"/>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The order control is</w:t>
      </w:r>
      <w:r>
        <w:t xml:space="preserve"> </w:t>
      </w:r>
      <w:r>
        <w:t xml:space="preserve">a Haiku</w:t>
      </w:r>
      <w:r>
        <w:t xml:space="preserve"> </w:t>
      </w:r>
      <m:oMath>
        <m:r>
          <m:t>n</m:t>
        </m:r>
        <m:r>
          <m:rPr>
            <m:sty m:val="p"/>
          </m:rPr>
          <m:t>=</m:t>
        </m:r>
        <m:r>
          <m:t>80</m:t>
        </m:r>
      </m:oMath>
      <w:r>
        <w:t xml:space="preserve"> </w:t>
      </w:r>
      <w:r>
        <w:t xml:space="preserve">arm in the earlier</w:t>
      </w:r>
      <w:r>
        <w:t xml:space="preserve"> </w:t>
      </w:r>
      <w:r>
        <w:rPr>
          <w:i/>
          <w:iCs/>
        </w:rPr>
        <w:t xml:space="preserve">agentic</w:t>
      </w:r>
      <w:r>
        <w:t xml:space="preserve"> </w:t>
      </w:r>
      <w:r>
        <w:t xml:space="preserve">regime, so it is not directly comparable with the</w:t>
      </w:r>
      <w:r>
        <w:t xml:space="preserve"> </w:t>
      </w:r>
      <w:r>
        <w:t xml:space="preserve">single-shot main table and we report it as auxiliary.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2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To be precise about where each kind of contribution is recorded: the co-authors’ contributions to</w:t>
      </w:r>
      <w:r>
        <w:t xml:space="preserve"> </w:t>
      </w:r>
      <w:r>
        <w:t xml:space="preserve">conceptualization, methodology, formal analysis, validation and revision were made in discussion</w:t>
      </w:r>
      <w:r>
        <w:t xml:space="preserve"> </w:t>
      </w:r>
      <w:r>
        <w:t xml:space="preserve">and review and so leave no trace in the repository, whereas the implementation is fully traceable</w:t>
      </w:r>
      <w:r>
        <w:t xml:space="preserve"> </w:t>
      </w:r>
      <w:r>
        <w:t xml:space="preserve">there. The commit history of the artifact repository is authored solely by A.B., who wrote the</w:t>
      </w:r>
      <w:r>
        <w:t xml:space="preserve"> </w:t>
      </w:r>
      <w:r>
        <w:t xml:space="preserve">measurement harness, executed every run, and produced the raw records and analysis scripts. The</w:t>
      </w:r>
      <w:r>
        <w:t xml:space="preserve"> </w:t>
      </w:r>
      <w:r>
        <w:t xml:space="preserve">generative-AI assistance described in the Acknowledgments is a tool: it holds no authorship and no</w:t>
      </w:r>
      <w:r>
        <w:t xml:space="preserve"> </w:t>
      </w:r>
      <w:r>
        <w:t xml:space="preserve">CRediT role.</w:t>
      </w:r>
    </w:p>
    <w:bookmarkEnd w:id="127"/>
    <w:bookmarkStart w:id="12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8"/>
    <w:bookmarkStart w:id="12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9"/>
    <w:bookmarkStart w:id="130" w:name="informed-consent-statement"/>
    <w:p>
      <w:pPr>
        <w:pStyle w:val="Heading1"/>
      </w:pPr>
      <w:r>
        <w:t xml:space="preserve">Informed Consent Statement</w:t>
      </w:r>
    </w:p>
    <w:p>
      <w:pPr>
        <w:pStyle w:val="FirstParagraph"/>
      </w:pPr>
      <w:r>
        <w:t xml:space="preserve">Not applicable.</w:t>
      </w:r>
    </w:p>
    <w:bookmarkEnd w:id="130"/>
    <w:bookmarkStart w:id="13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31"/>
    <w:bookmarkStart w:id="13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32"/>
    <w:bookmarkStart w:id="133"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every number reported here is a pass rate</w:t>
      </w:r>
      <w:r>
        <w:t xml:space="preserve"> </w:t>
      </w:r>
      <w:r>
        <w:t xml:space="preserve">obtained by querying commercial language models through their public APIs</w:t>
      </w:r>
      <w:r>
        <w:t xml:space="preserve"> </w:t>
      </w:r>
      <w:r>
        <w:t xml:space="preserve">(§7.3); those systems are the measured subject.</w:t>
      </w:r>
      <w:r>
        <w:t xml:space="preserve"> </w:t>
      </w:r>
      <w:r>
        <w:rPr>
          <w:i/>
          <w:iCs/>
        </w:rPr>
        <w:t xml:space="preserve">As a tool:</w:t>
      </w:r>
      <w:r>
        <w:t xml:space="preserve"> </w:t>
      </w:r>
      <w:r>
        <w:t xml:space="preserve">the</w:t>
      </w:r>
      <w:r>
        <w:t xml:space="preserve"> </w:t>
      </w:r>
      <w:r>
        <w:t xml:space="preserve">assistance described in the Acknowledgments. No result, table or figure was produced by a language</w:t>
      </w:r>
      <w:r>
        <w:t xml:space="preserve"> </w:t>
      </w:r>
      <w:r>
        <w:t xml:space="preserve">model acting as an author or an analyst. Every reported quantity is computed from the released raw</w:t>
      </w:r>
      <w:r>
        <w:t xml:space="preserve"> </w:t>
      </w:r>
      <w:r>
        <w:t xml:space="preserve">run records by the released scripts, and each was checked against the frozen manifest of those</w:t>
      </w:r>
      <w:r>
        <w:t xml:space="preserve"> </w:t>
      </w:r>
      <w:r>
        <w:t xml:space="preserve">records (</w:t>
      </w:r>
      <w:r>
        <w:rPr>
          <w:rStyle w:val="VerbatimChar"/>
        </w:rPr>
        <w:t xml:space="preserve">results/MANIFEST.md</w:t>
      </w:r>
      <w:r>
        <w:t xml:space="preserve">, which pins every file by SHA-256 and maps each table and</w:t>
      </w:r>
      <w:r>
        <w:t xml:space="preserve"> </w:t>
      </w:r>
      <w:r>
        <w:t xml:space="preserve">figure to the files it is computed from).</w:t>
      </w:r>
    </w:p>
    <w:bookmarkEnd w:id="133"/>
    <w:bookmarkStart w:id="134" w:name="conflicts-of-interest"/>
    <w:p>
      <w:pPr>
        <w:pStyle w:val="Heading1"/>
      </w:pPr>
      <w:r>
        <w:t xml:space="preserve">Conflicts of Interest</w:t>
      </w:r>
    </w:p>
    <w:p>
      <w:pPr>
        <w:pStyle w:val="FirstParagraph"/>
      </w:pPr>
      <w:r>
        <w:t xml:space="preserve">The authors declare no conflict of interest.</w:t>
      </w:r>
    </w:p>
    <w:bookmarkEnd w:id="134"/>
    <w:bookmarkStart w:id="13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5"/>
    <w:bookmarkStart w:id="147" w:name="app:proofs"/>
    <w:p>
      <w:pPr>
        <w:pStyle w:val="Heading1"/>
      </w:pPr>
      <w:r>
        <w:t xml:space="preserve">Deferred proofs and technical material</w:t>
      </w:r>
    </w:p>
    <w:bookmarkStart w:id="13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6"/>
    <w:bookmarkStart w:id="13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7"/>
    <w:bookmarkStart w:id="13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8"/>
    <w:bookmarkStart w:id="13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relation-to-llm-evaluation-statistics"/>
    <w:p>
      <w:pPr>
        <w:pStyle w:val="Heading2"/>
      </w:pPr>
      <w:r>
        <w:t xml:space="preserve">Relation to LLM-evaluation statistics</w:t>
      </w:r>
    </w:p>
    <w:bookmarkStart w:id="14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4"/>
    <w:bookmarkEnd w:id="145"/>
    <w:bookmarkStart w:id="14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6"/>
    <w:bookmarkEnd w:id="147"/>
    <w:bookmarkStart w:id="154" w:name="app:record"/>
    <w:p>
      <w:pPr>
        <w:pStyle w:val="Heading1"/>
      </w:pPr>
      <w:r>
        <w:t xml:space="preserve">Extended experimental record</w:t>
      </w:r>
    </w:p>
    <w:bookmarkStart w:id="14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8"/>
    <w:bookmarkStart w:id="15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9"/>
    <w:bookmarkStart w:id="150"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0"/>
    <w:bookmarkStart w:id="15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1"/>
    <w:bookmarkStart w:id="152"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52"/>
    <w:bookmarkEnd w:id="153"/>
    <w:bookmarkEnd w:id="154"/>
    <w:bookmarkStart w:id="300"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5"/>
    <w:bookmarkStart w:id="15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main tables. The one exception is</w:t>
      </w:r>
      <w:r>
        <w:t xml:space="preserve"> </w:t>
      </w:r>
      <w:r>
        <w:t xml:space="preserve">the order control of §7.4.3, an earlier</w:t>
      </w:r>
      <w:r>
        <w:t xml:space="preserve"> </w:t>
      </w:r>
      <m:oMath>
        <m:r>
          <m:t>n</m:t>
        </m:r>
        <m:r>
          <m:rPr>
            <m:sty m:val="p"/>
          </m:rPr>
          <m:t>=</m:t>
        </m:r>
        <m:r>
          <m:t>80</m:t>
        </m:r>
      </m:oMath>
      <w:r>
        <w:t xml:space="preserve"> </w:t>
      </w:r>
      <w:r>
        <w:t xml:space="preserve">Haiku run made through the</w:t>
      </w:r>
      <w:r>
        <w:t xml:space="preserve"> </w:t>
      </w:r>
      <w:r>
        <w:t xml:space="preserve">agentic CLI path (up to six turns per attempt) rather than the single-shot one; it is reported as</w:t>
      </w:r>
      <w:r>
        <w:t xml:space="preserve"> </w:t>
      </w:r>
      <w:r>
        <w:t xml:space="preserve">an auxiliary control for that reason and enters no table of the six-model record.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6"/>
    <w:bookmarkStart w:id="15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7"/>
    <w:bookmarkStart w:id="29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8" w:name="refs"/>
    <w:bookmarkStart w:id="159"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8">
        <w:r>
          <w:rPr>
            <w:rStyle w:val="Hyperlink"/>
          </w:rPr>
          <w:t xml:space="preserve">https://arxiv.org/abs/2512.23617</w:t>
        </w:r>
      </w:hyperlink>
      <w:r>
        <w:t xml:space="preserve">.</w:t>
      </w:r>
    </w:p>
    <w:bookmarkEnd w:id="159"/>
    <w:bookmarkStart w:id="161"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0">
        <w:r>
          <w:rPr>
            <w:rStyle w:val="Hyperlink"/>
          </w:rPr>
          <w:t xml:space="preserve">https://doi.org/10.5281/zenodo.20800175</w:t>
        </w:r>
      </w:hyperlink>
      <w:r>
        <w:t xml:space="preserve">.</w:t>
      </w:r>
    </w:p>
    <w:bookmarkEnd w:id="161"/>
    <w:bookmarkStart w:id="163"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2">
        <w:r>
          <w:rPr>
            <w:rStyle w:val="Hyperlink"/>
          </w:rPr>
          <w:t xml:space="preserve">https://doi.org/10.5281/zenodo.20800031</w:t>
        </w:r>
      </w:hyperlink>
      <w:r>
        <w:t xml:space="preserve">.</w:t>
      </w:r>
    </w:p>
    <w:bookmarkEnd w:id="163"/>
    <w:bookmarkStart w:id="165"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4">
        <w:r>
          <w:rPr>
            <w:rStyle w:val="Hyperlink"/>
          </w:rPr>
          <w:t xml:space="preserve">https://doi.org/10.5281/zenodo.20800209</w:t>
        </w:r>
      </w:hyperlink>
      <w:r>
        <w:t xml:space="preserve">.</w:t>
      </w:r>
    </w:p>
    <w:bookmarkEnd w:id="165"/>
    <w:bookmarkStart w:id="166"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6"/>
    <w:bookmarkStart w:id="168"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7">
        <w:r>
          <w:rPr>
            <w:rStyle w:val="Hyperlink"/>
          </w:rPr>
          <w:t xml:space="preserve">https://doi.org/10.1109/ISIT.2014.6875280</w:t>
        </w:r>
      </w:hyperlink>
      <w:r>
        <w:t xml:space="preserve">.</w:t>
      </w:r>
    </w:p>
    <w:bookmarkEnd w:id="168"/>
    <w:bookmarkStart w:id="170"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9">
        <w:r>
          <w:rPr>
            <w:rStyle w:val="Hyperlink"/>
          </w:rPr>
          <w:t xml:space="preserve">https://doi.org/10.1214/aoms/1177729032</w:t>
        </w:r>
      </w:hyperlink>
      <w:r>
        <w:t xml:space="preserve">.</w:t>
      </w:r>
    </w:p>
    <w:bookmarkEnd w:id="170"/>
    <w:bookmarkStart w:id="171"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1"/>
    <w:bookmarkStart w:id="173"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2">
        <w:r>
          <w:rPr>
            <w:rStyle w:val="Hyperlink"/>
          </w:rPr>
          <w:t xml:space="preserve">https://arxiv.org/abs/2503.01747</w:t>
        </w:r>
      </w:hyperlink>
      <w:r>
        <w:t xml:space="preserve">.</w:t>
      </w:r>
    </w:p>
    <w:bookmarkEnd w:id="173"/>
    <w:bookmarkStart w:id="175"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4">
        <w:r>
          <w:rPr>
            <w:rStyle w:val="Hyperlink"/>
          </w:rPr>
          <w:t xml:space="preserve">https://arxiv.org/abs/2411.01533</w:t>
        </w:r>
      </w:hyperlink>
      <w:r>
        <w:t xml:space="preserve">.</w:t>
      </w:r>
    </w:p>
    <w:bookmarkEnd w:id="175"/>
    <w:bookmarkStart w:id="177"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6">
        <w:r>
          <w:rPr>
            <w:rStyle w:val="Hyperlink"/>
          </w:rPr>
          <w:t xml:space="preserve">https://doi.org/10.1145/290941.291025</w:t>
        </w:r>
      </w:hyperlink>
      <w:r>
        <w:t xml:space="preserve">.</w:t>
      </w:r>
    </w:p>
    <w:bookmarkEnd w:id="177"/>
    <w:bookmarkStart w:id="179"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8">
        <w:r>
          <w:rPr>
            <w:rStyle w:val="Hyperlink"/>
          </w:rPr>
          <w:t xml:space="preserve">https://arxiv.org/abs/2511.17908</w:t>
        </w:r>
      </w:hyperlink>
      <w:r>
        <w:t xml:space="preserve">.</w:t>
      </w:r>
    </w:p>
    <w:bookmarkEnd w:id="179"/>
    <w:bookmarkStart w:id="18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0">
        <w:r>
          <w:rPr>
            <w:rStyle w:val="Hyperlink"/>
          </w:rPr>
          <w:t xml:space="preserve">https://arxiv.org/abs/2507.03279</w:t>
        </w:r>
      </w:hyperlink>
      <w:r>
        <w:t xml:space="preserve">.</w:t>
      </w:r>
    </w:p>
    <w:bookmarkEnd w:id="181"/>
    <w:bookmarkStart w:id="183"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2">
        <w:r>
          <w:rPr>
            <w:rStyle w:val="Hyperlink"/>
          </w:rPr>
          <w:t xml:space="preserve">https://arxiv.org/abs/2601.16478</w:t>
        </w:r>
      </w:hyperlink>
      <w:r>
        <w:t xml:space="preserve">.</w:t>
      </w:r>
    </w:p>
    <w:bookmarkEnd w:id="183"/>
    <w:bookmarkStart w:id="18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4">
        <w:r>
          <w:rPr>
            <w:rStyle w:val="Hyperlink"/>
          </w:rPr>
          <w:t xml:space="preserve">https://arxiv.org/abs/2508.21184</w:t>
        </w:r>
      </w:hyperlink>
      <w:r>
        <w:t xml:space="preserve">.</w:t>
      </w:r>
    </w:p>
    <w:bookmarkEnd w:id="185"/>
    <w:bookmarkStart w:id="18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6">
        <w:r>
          <w:rPr>
            <w:rStyle w:val="Hyperlink"/>
          </w:rPr>
          <w:t xml:space="preserve">https://doi.org/10.1093/biomet/26.4.404</w:t>
        </w:r>
      </w:hyperlink>
      <w:r>
        <w:t xml:space="preserve">.</w:t>
      </w:r>
    </w:p>
    <w:bookmarkEnd w:id="187"/>
    <w:bookmarkStart w:id="18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8">
        <w:r>
          <w:rPr>
            <w:rStyle w:val="Hyperlink"/>
          </w:rPr>
          <w:t xml:space="preserve">https://arxiv.org/abs/2401.14887</w:t>
        </w:r>
      </w:hyperlink>
      <w:r>
        <w:t xml:space="preserve">.</w:t>
      </w:r>
    </w:p>
    <w:bookmarkEnd w:id="189"/>
    <w:bookmarkStart w:id="191"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0">
        <w:r>
          <w:rPr>
            <w:rStyle w:val="Hyperlink"/>
          </w:rPr>
          <w:t xml:space="preserve">https://arxiv.org/abs/2503.01478</w:t>
        </w:r>
      </w:hyperlink>
      <w:r>
        <w:t xml:space="preserve">.</w:t>
      </w:r>
    </w:p>
    <w:bookmarkEnd w:id="191"/>
    <w:bookmarkStart w:id="193"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2">
        <w:r>
          <w:rPr>
            <w:rStyle w:val="Hyperlink"/>
          </w:rPr>
          <w:t xml:space="preserve">http://www.vldb.org/pvldb/vol6/p37-dong.pdf</w:t>
        </w:r>
      </w:hyperlink>
      <w:r>
        <w:t xml:space="preserve">.</w:t>
      </w:r>
    </w:p>
    <w:bookmarkEnd w:id="193"/>
    <w:bookmarkStart w:id="195"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4">
        <w:r>
          <w:rPr>
            <w:rStyle w:val="Hyperlink"/>
          </w:rPr>
          <w:t xml:space="preserve">https://arxiv.org/abs/2510.05381</w:t>
        </w:r>
      </w:hyperlink>
      <w:r>
        <w:t xml:space="preserve">.</w:t>
      </w:r>
    </w:p>
    <w:bookmarkEnd w:id="195"/>
    <w:bookmarkStart w:id="197"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6">
        <w:r>
          <w:rPr>
            <w:rStyle w:val="Hyperlink"/>
          </w:rPr>
          <w:t xml:space="preserve">https://doi.org/10.1214/aoms/1177728174</w:t>
        </w:r>
      </w:hyperlink>
      <w:r>
        <w:t xml:space="preserve">.</w:t>
      </w:r>
    </w:p>
    <w:bookmarkEnd w:id="197"/>
    <w:bookmarkStart w:id="198"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8"/>
    <w:bookmarkStart w:id="200"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9">
        <w:r>
          <w:rPr>
            <w:rStyle w:val="Hyperlink"/>
          </w:rPr>
          <w:t xml:space="preserve">https://arxiv.org/abs/2601.11273</w:t>
        </w:r>
      </w:hyperlink>
      <w:r>
        <w:t xml:space="preserve">.</w:t>
      </w:r>
    </w:p>
    <w:bookmarkEnd w:id="200"/>
    <w:bookmarkStart w:id="202"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1">
        <w:r>
          <w:rPr>
            <w:rStyle w:val="Hyperlink"/>
          </w:rPr>
          <w:t xml:space="preserve">https://arxiv.org/abs/2503.05491</w:t>
        </w:r>
      </w:hyperlink>
      <w:r>
        <w:t xml:space="preserve">.</w:t>
      </w:r>
    </w:p>
    <w:bookmarkEnd w:id="202"/>
    <w:bookmarkStart w:id="204"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3">
        <w:r>
          <w:rPr>
            <w:rStyle w:val="Hyperlink"/>
          </w:rPr>
          <w:t xml:space="preserve">https://arxiv.org/abs/2608.26762</w:t>
        </w:r>
      </w:hyperlink>
      <w:r>
        <w:t xml:space="preserve">.</w:t>
      </w:r>
    </w:p>
    <w:bookmarkEnd w:id="204"/>
    <w:bookmarkStart w:id="20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5">
        <w:r>
          <w:rPr>
            <w:rStyle w:val="Hyperlink"/>
          </w:rPr>
          <w:t xml:space="preserve">https://doi.org/10.1007/s10791-008-9045-0</w:t>
        </w:r>
      </w:hyperlink>
      <w:r>
        <w:t xml:space="preserve">.</w:t>
      </w:r>
    </w:p>
    <w:bookmarkEnd w:id="206"/>
    <w:bookmarkStart w:id="20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7">
        <w:r>
          <w:rPr>
            <w:rStyle w:val="Hyperlink"/>
          </w:rPr>
          <w:t xml:space="preserve">https://arxiv.org/abs/2410.20247</w:t>
        </w:r>
      </w:hyperlink>
      <w:r>
        <w:t xml:space="preserve">.</w:t>
      </w:r>
    </w:p>
    <w:bookmarkEnd w:id="208"/>
    <w:bookmarkStart w:id="210"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9">
        <w:r>
          <w:rPr>
            <w:rStyle w:val="Hyperlink"/>
          </w:rPr>
          <w:t xml:space="preserve">https://arxiv.org/abs/2606.20047</w:t>
        </w:r>
      </w:hyperlink>
      <w:r>
        <w:t xml:space="preserve">.</w:t>
      </w:r>
    </w:p>
    <w:bookmarkEnd w:id="210"/>
    <w:bookmarkStart w:id="212"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1">
        <w:r>
          <w:rPr>
            <w:rStyle w:val="Hyperlink"/>
          </w:rPr>
          <w:t xml:space="preserve">https://aclanthology.org/2026.findings-acl.583/</w:t>
        </w:r>
      </w:hyperlink>
      <w:r>
        <w:t xml:space="preserve">.</w:t>
      </w:r>
    </w:p>
    <w:bookmarkEnd w:id="212"/>
    <w:bookmarkStart w:id="21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3">
        <w:r>
          <w:rPr>
            <w:rStyle w:val="Hyperlink"/>
          </w:rPr>
          <w:t xml:space="preserve">https://arxiv.org/abs/2002.08909</w:t>
        </w:r>
      </w:hyperlink>
      <w:r>
        <w:t xml:space="preserve">.</w:t>
      </w:r>
    </w:p>
    <w:bookmarkEnd w:id="214"/>
    <w:bookmarkStart w:id="21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15">
        <w:r>
          <w:rPr>
            <w:rStyle w:val="Hyperlink"/>
          </w:rPr>
          <w:t xml:space="preserve">https://arxiv.org/abs/2412.17031</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7">
        <w:r>
          <w:rPr>
            <w:rStyle w:val="Hyperlink"/>
          </w:rPr>
          <w:t xml:space="preserve">https://aclanthology.org/2025.fever-1.2/</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33">
        <w:r>
          <w:rPr>
            <w:rStyle w:val="Hyperlink"/>
          </w:rPr>
          <w:t xml:space="preserve">https://doi.org/10.1016/j.econlet.2024.112146</w:t>
        </w:r>
      </w:hyperlink>
      <w:r>
        <w:t xml:space="preserve">.</w:t>
      </w:r>
    </w:p>
    <w:bookmarkEnd w:id="234"/>
    <w:bookmarkStart w:id="236"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5">
        <w:r>
          <w:rPr>
            <w:rStyle w:val="Hyperlink"/>
          </w:rPr>
          <w:t xml:space="preserve">https://doi.org/10.1145/3397271.3401075</w:t>
        </w:r>
      </w:hyperlink>
      <w:r>
        <w:t xml:space="preserve">.</w:t>
      </w:r>
    </w:p>
    <w:bookmarkEnd w:id="236"/>
    <w:bookmarkStart w:id="238"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7">
        <w:r>
          <w:rPr>
            <w:rStyle w:val="Hyperlink"/>
          </w:rPr>
          <w:t xml:space="preserve">https://doi.org/10.1214/aoms/1177700372</w:t>
        </w:r>
      </w:hyperlink>
      <w:r>
        <w:t xml:space="preserve">.</w:t>
      </w:r>
    </w:p>
    <w:bookmarkEnd w:id="238"/>
    <w:bookmarkStart w:id="240"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9">
        <w:r>
          <w:rPr>
            <w:rStyle w:val="Hyperlink"/>
          </w:rPr>
          <w:t xml:space="preserve">https://doi.org/10.1007/978-1-4612-4946-7</w:t>
        </w:r>
      </w:hyperlink>
      <w:r>
        <w:t xml:space="preserve">.</w:t>
      </w:r>
    </w:p>
    <w:bookmarkEnd w:id="240"/>
    <w:bookmarkStart w:id="242"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41">
        <w:r>
          <w:rPr>
            <w:rStyle w:val="Hyperlink"/>
          </w:rPr>
          <w:t xml:space="preserve">https://arxiv.org/abs/2504.07104</w:t>
        </w:r>
      </w:hyperlink>
      <w:r>
        <w:t xml:space="preserve">.</w:t>
      </w:r>
    </w:p>
    <w:bookmarkEnd w:id="242"/>
    <w:bookmarkStart w:id="244"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3">
        <w:r>
          <w:rPr>
            <w:rStyle w:val="Hyperlink"/>
          </w:rPr>
          <w:t xml:space="preserve">https://arxiv.org/abs/2503.04388</w:t>
        </w:r>
      </w:hyperlink>
      <w:r>
        <w:t xml:space="preserve">.</w:t>
      </w:r>
    </w:p>
    <w:bookmarkEnd w:id="244"/>
    <w:bookmarkStart w:id="24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5">
        <w:r>
          <w:rPr>
            <w:rStyle w:val="Hyperlink"/>
          </w:rPr>
          <w:t xml:space="preserve">https://arxiv.org/abs/2605.05716</w:t>
        </w:r>
      </w:hyperlink>
      <w:r>
        <w:t xml:space="preserve">.</w:t>
      </w:r>
    </w:p>
    <w:bookmarkEnd w:id="246"/>
    <w:bookmarkStart w:id="248"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7">
        <w:r>
          <w:rPr>
            <w:rStyle w:val="Hyperlink"/>
          </w:rPr>
          <w:t xml:space="preserve">https://arxiv.org/abs/2307.03172</w:t>
        </w:r>
      </w:hyperlink>
      <w:r>
        <w:t xml:space="preserve">.</w:t>
      </w:r>
    </w:p>
    <w:bookmarkEnd w:id="248"/>
    <w:bookmarkStart w:id="250"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9">
        <w:r>
          <w:rPr>
            <w:rStyle w:val="Hyperlink"/>
          </w:rPr>
          <w:t xml:space="preserve">https://arxiv.org/abs/2411.00640</w:t>
        </w:r>
      </w:hyperlink>
      <w:r>
        <w:t xml:space="preserve">.</w:t>
      </w:r>
    </w:p>
    <w:bookmarkEnd w:id="250"/>
    <w:bookmarkStart w:id="252"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51">
        <w:r>
          <w:rPr>
            <w:rStyle w:val="Hyperlink"/>
          </w:rPr>
          <w:t xml:space="preserve">https://doi.org/10.1007/978-3-032-19099-4_23</w:t>
        </w:r>
      </w:hyperlink>
      <w:r>
        <w:t xml:space="preserve">.</w:t>
      </w:r>
    </w:p>
    <w:bookmarkEnd w:id="252"/>
    <w:bookmarkStart w:id="25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3">
        <w:r>
          <w:rPr>
            <w:rStyle w:val="Hyperlink"/>
          </w:rPr>
          <w:t xml:space="preserve">https://arxiv.org/abs/2604.06621</w:t>
        </w:r>
      </w:hyperlink>
      <w:r>
        <w:t xml:space="preserve">.</w:t>
      </w:r>
    </w:p>
    <w:bookmarkEnd w:id="254"/>
    <w:bookmarkStart w:id="25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5">
        <w:r>
          <w:rPr>
            <w:rStyle w:val="Hyperlink"/>
          </w:rPr>
          <w:t xml:space="preserve">https://arxiv.org/abs/2605.03534</w:t>
        </w:r>
      </w:hyperlink>
      <w:r>
        <w:t xml:space="preserve">.</w:t>
      </w:r>
    </w:p>
    <w:bookmarkEnd w:id="256"/>
    <w:bookmarkStart w:id="25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7">
        <w:r>
          <w:rPr>
            <w:rStyle w:val="Hyperlink"/>
          </w:rPr>
          <w:t xml:space="preserve">https://doi.org/10.1108/eb026647</w:t>
        </w:r>
      </w:hyperlink>
      <w:r>
        <w:t xml:space="preserve">.</w:t>
      </w:r>
    </w:p>
    <w:bookmarkEnd w:id="258"/>
    <w:bookmarkStart w:id="26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9">
        <w:r>
          <w:rPr>
            <w:rStyle w:val="Hyperlink"/>
          </w:rPr>
          <w:t xml:space="preserve">https://arxiv.org/abs/1402.4884</w:t>
        </w:r>
      </w:hyperlink>
      <w:r>
        <w:t xml:space="preserve">.</w:t>
      </w:r>
    </w:p>
    <w:bookmarkEnd w:id="260"/>
    <w:bookmarkStart w:id="26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61">
        <w:r>
          <w:rPr>
            <w:rStyle w:val="Hyperlink"/>
          </w:rPr>
          <w:t xml:space="preserve">https://arxiv.org/abs/2302.00093</w:t>
        </w:r>
      </w:hyperlink>
      <w:r>
        <w:t xml:space="preserve">.</w:t>
      </w:r>
    </w:p>
    <w:bookmarkEnd w:id="262"/>
    <w:bookmarkStart w:id="264"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3">
        <w:r>
          <w:rPr>
            <w:rStyle w:val="Hyperlink"/>
          </w:rPr>
          <w:t xml:space="preserve">https://arxiv.org/abs/2301.12652</w:t>
        </w:r>
      </w:hyperlink>
      <w:r>
        <w:t xml:space="preserve">.</w:t>
      </w:r>
    </w:p>
    <w:bookmarkEnd w:id="264"/>
    <w:bookmarkStart w:id="266"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5">
        <w:r>
          <w:rPr>
            <w:rStyle w:val="Hyperlink"/>
          </w:rPr>
          <w:t xml:space="preserve">https://arxiv.org/abs/2304.09542</w:t>
        </w:r>
      </w:hyperlink>
      <w:r>
        <w:t xml:space="preserve">.</w:t>
      </w:r>
    </w:p>
    <w:bookmarkEnd w:id="266"/>
    <w:bookmarkStart w:id="268"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7">
        <w:r>
          <w:rPr>
            <w:rStyle w:val="Hyperlink"/>
          </w:rPr>
          <w:t xml:space="preserve">https://doi.org/10.1017/CBO9780511666353</w:t>
        </w:r>
      </w:hyperlink>
      <w:r>
        <w:t xml:space="preserve">.</w:t>
      </w:r>
    </w:p>
    <w:bookmarkEnd w:id="268"/>
    <w:bookmarkStart w:id="270"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9">
        <w:r>
          <w:rPr>
            <w:rStyle w:val="Hyperlink"/>
          </w:rPr>
          <w:t xml:space="preserve">https://arxiv.org/abs/2402.11750</w:t>
        </w:r>
      </w:hyperlink>
      <w:r>
        <w:t xml:space="preserve">.</w:t>
      </w:r>
    </w:p>
    <w:bookmarkEnd w:id="270"/>
    <w:bookmarkStart w:id="272"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71">
        <w:r>
          <w:rPr>
            <w:rStyle w:val="Hyperlink"/>
          </w:rPr>
          <w:t xml:space="preserve">https://arxiv.org/abs/2602.08294</w:t>
        </w:r>
      </w:hyperlink>
      <w:r>
        <w:t xml:space="preserve">.</w:t>
      </w:r>
    </w:p>
    <w:bookmarkEnd w:id="272"/>
    <w:bookmarkStart w:id="274"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3">
        <w:r>
          <w:rPr>
            <w:rStyle w:val="Hyperlink"/>
          </w:rPr>
          <w:t xml:space="preserve">https://doi.org/10.1145/1571941.1571963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94">
        <w:r>
          <w:rPr>
            <w:rStyle w:val="Hyperlink"/>
          </w:rPr>
          <w:t xml:space="preserve">https://doi.org/10.1145/3802111</w:t>
        </w:r>
      </w:hyperlink>
      <w:r>
        <w:t xml:space="preserve">.</w:t>
      </w:r>
    </w:p>
    <w:bookmarkEnd w:id="295"/>
    <w:bookmarkStart w:id="297"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6">
        <w:r>
          <w:rPr>
            <w:rStyle w:val="Hyperlink"/>
          </w:rPr>
          <w:t xml:space="preserve">https://doi.org/10.1007/978-3-642-12275-0_32</w:t>
        </w:r>
      </w:hyperlink>
      <w:r>
        <w:t xml:space="preserve">.</w:t>
      </w:r>
    </w:p>
    <w:bookmarkEnd w:id="297"/>
    <w:bookmarkEnd w:id="298"/>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2" Target="http://www.vldb.org/pvldb/vol6/p37-dong.pdf" TargetMode="External" /><Relationship Type="http://schemas.openxmlformats.org/officeDocument/2006/relationships/hyperlink" Id="rId217" Target="https://aclanthology.org/2025.fever-1.2/" TargetMode="External" /><Relationship Type="http://schemas.openxmlformats.org/officeDocument/2006/relationships/hyperlink" Id="rId211" Target="https://aclanthology.org/2026.findings-acl.583/" TargetMode="External" /><Relationship Type="http://schemas.openxmlformats.org/officeDocument/2006/relationships/hyperlink" Id="rId259" Target="https://arxiv.org/abs/1402.4884" TargetMode="External" /><Relationship Type="http://schemas.openxmlformats.org/officeDocument/2006/relationships/hyperlink" Id="rId213" Target="https://arxiv.org/abs/2002.08909" TargetMode="External" /><Relationship Type="http://schemas.openxmlformats.org/officeDocument/2006/relationships/hyperlink" Id="rId263" Target="https://arxiv.org/abs/2301.12652" TargetMode="External" /><Relationship Type="http://schemas.openxmlformats.org/officeDocument/2006/relationships/hyperlink" Id="rId261"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5" Target="https://arxiv.org/abs/2304.09542" TargetMode="External" /><Relationship Type="http://schemas.openxmlformats.org/officeDocument/2006/relationships/hyperlink" Id="rId247" Target="https://arxiv.org/abs/2307.03172" TargetMode="External" /><Relationship Type="http://schemas.openxmlformats.org/officeDocument/2006/relationships/hyperlink" Id="rId188" Target="https://arxiv.org/abs/2401.14887" TargetMode="External" /><Relationship Type="http://schemas.openxmlformats.org/officeDocument/2006/relationships/hyperlink" Id="rId269"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7" Target="https://arxiv.org/abs/2410.20247" TargetMode="External" /><Relationship Type="http://schemas.openxmlformats.org/officeDocument/2006/relationships/hyperlink" Id="rId249" Target="https://arxiv.org/abs/2411.00640" TargetMode="External" /><Relationship Type="http://schemas.openxmlformats.org/officeDocument/2006/relationships/hyperlink" Id="rId174"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5" Target="https://arxiv.org/abs/2412.17031" TargetMode="External" /><Relationship Type="http://schemas.openxmlformats.org/officeDocument/2006/relationships/hyperlink" Id="rId190" Target="https://arxiv.org/abs/2503.01478" TargetMode="External" /><Relationship Type="http://schemas.openxmlformats.org/officeDocument/2006/relationships/hyperlink" Id="rId172" Target="https://arxiv.org/abs/2503.01747" TargetMode="External" /><Relationship Type="http://schemas.openxmlformats.org/officeDocument/2006/relationships/hyperlink" Id="rId243" Target="https://arxiv.org/abs/2503.04388" TargetMode="External" /><Relationship Type="http://schemas.openxmlformats.org/officeDocument/2006/relationships/hyperlink" Id="rId201" Target="https://arxiv.org/abs/2503.05491" TargetMode="External" /><Relationship Type="http://schemas.openxmlformats.org/officeDocument/2006/relationships/hyperlink" Id="rId241"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0" Target="https://arxiv.org/abs/2507.03279" TargetMode="External" /><Relationship Type="http://schemas.openxmlformats.org/officeDocument/2006/relationships/hyperlink" Id="rId184"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4"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78" Target="https://arxiv.org/abs/2511.17908" TargetMode="External" /><Relationship Type="http://schemas.openxmlformats.org/officeDocument/2006/relationships/hyperlink" Id="rId225" Target="https://arxiv.org/abs/2512.06464" TargetMode="External" /><Relationship Type="http://schemas.openxmlformats.org/officeDocument/2006/relationships/hyperlink" Id="rId158"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199" Target="https://arxiv.org/abs/2601.11273" TargetMode="External" /><Relationship Type="http://schemas.openxmlformats.org/officeDocument/2006/relationships/hyperlink" Id="rId182" Target="https://arxiv.org/abs/2601.16478" TargetMode="External" /><Relationship Type="http://schemas.openxmlformats.org/officeDocument/2006/relationships/hyperlink" Id="rId271" Target="https://arxiv.org/abs/2602.08294" TargetMode="External" /><Relationship Type="http://schemas.openxmlformats.org/officeDocument/2006/relationships/hyperlink" Id="rId253"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5" Target="https://arxiv.org/abs/2605.03534" TargetMode="External" /><Relationship Type="http://schemas.openxmlformats.org/officeDocument/2006/relationships/hyperlink" Id="rId245"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09" Target="https://arxiv.org/abs/2606.20047" TargetMode="External" /><Relationship Type="http://schemas.openxmlformats.org/officeDocument/2006/relationships/hyperlink" Id="rId203" Target="https://arxiv.org/abs/2608.26762" TargetMode="External" /><Relationship Type="http://schemas.openxmlformats.org/officeDocument/2006/relationships/hyperlink" Id="rId239" Target="https://doi.org/10.1007/978-1-4612-4946-7" TargetMode="External" /><Relationship Type="http://schemas.openxmlformats.org/officeDocument/2006/relationships/hyperlink" Id="rId251" Target="https://doi.org/10.1007/978-3-032-19099-4_23" TargetMode="External" /><Relationship Type="http://schemas.openxmlformats.org/officeDocument/2006/relationships/hyperlink" Id="rId296" Target="https://doi.org/10.1007/978-3-642-12275-0_32" TargetMode="External" /><Relationship Type="http://schemas.openxmlformats.org/officeDocument/2006/relationships/hyperlink" Id="rId205" Target="https://doi.org/10.1007/s10791-008-9045-0" TargetMode="External" /><Relationship Type="http://schemas.openxmlformats.org/officeDocument/2006/relationships/hyperlink" Id="rId233" Target="https://doi.org/10.1016/j.econlet.2024.112146" TargetMode="External" /><Relationship Type="http://schemas.openxmlformats.org/officeDocument/2006/relationships/hyperlink" Id="rId267" Target="https://doi.org/10.1017/CBO9780511666353" TargetMode="External" /><Relationship Type="http://schemas.openxmlformats.org/officeDocument/2006/relationships/hyperlink" Id="rId186" Target="https://doi.org/10.1093/biomet/26.4.404" TargetMode="External" /><Relationship Type="http://schemas.openxmlformats.org/officeDocument/2006/relationships/hyperlink" Id="rId257" Target="https://doi.org/10.1108/eb026647" TargetMode="External" /><Relationship Type="http://schemas.openxmlformats.org/officeDocument/2006/relationships/hyperlink" Id="rId167" Target="https://doi.org/10.1109/ISIT.2014.6875280" TargetMode="External" /><Relationship Type="http://schemas.openxmlformats.org/officeDocument/2006/relationships/hyperlink" Id="rId273" Target="https://doi.org/10.1145/1571941.1571963" TargetMode="External" /><Relationship Type="http://schemas.openxmlformats.org/officeDocument/2006/relationships/hyperlink" Id="rId176" Target="https://doi.org/10.1145/290941.291025" TargetMode="External" /><Relationship Type="http://schemas.openxmlformats.org/officeDocument/2006/relationships/hyperlink" Id="rId235" Target="https://doi.org/10.1145/3397271.3401075" TargetMode="External" /><Relationship Type="http://schemas.openxmlformats.org/officeDocument/2006/relationships/hyperlink" Id="rId294" Target="https://doi.org/10.1145/3802111" TargetMode="External" /><Relationship Type="http://schemas.openxmlformats.org/officeDocument/2006/relationships/hyperlink" Id="rId237" Target="https://doi.org/10.1214/aoms/1177700372" TargetMode="External" /><Relationship Type="http://schemas.openxmlformats.org/officeDocument/2006/relationships/hyperlink" Id="rId196" Target="https://doi.org/10.1214/aoms/1177728174" TargetMode="External" /><Relationship Type="http://schemas.openxmlformats.org/officeDocument/2006/relationships/hyperlink" Id="rId169" Target="https://doi.org/10.1214/aoms/1177729032" TargetMode="External" /><Relationship Type="http://schemas.openxmlformats.org/officeDocument/2006/relationships/hyperlink" Id="rId162" Target="https://doi.org/10.5281/zenodo.20800031" TargetMode="External" /><Relationship Type="http://schemas.openxmlformats.org/officeDocument/2006/relationships/hyperlink" Id="rId160" Target="https://doi.org/10.5281/zenodo.20800175" TargetMode="External" /><Relationship Type="http://schemas.openxmlformats.org/officeDocument/2006/relationships/hyperlink" Id="rId164"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Vasyl Lytvyn ^{1}, Petro Pukach ^{2}, Zoriana Rybchak ^{1} ^{1} Department of Information Systems and Networks, Institute of Computer Science and Information Technologies, Lviv Polytechnic National University, S. Bandery St. 12, 79013 Lviv, Ukraine; vasyl.v.lytvyn@lpnu.ua (V.L.); zoriana.l.rybchak@lpnu.ua (Z.R.) ^{2} Institute of Applied Mathematics and Fundamental Sciences, Lviv Polytechnic National University, S. Bandery St. 12, 79013 Lviv, Ukraine; petro.y.pukach@lpnu.ua ^{\ast} Correspondence: andriy.bilous@uitware.com</dc:creator>
  <cp:keywords/>
  <dcterms:created xsi:type="dcterms:W3CDTF">2026-09-09T05:07:41Z</dcterms:created>
  <dcterms:modified xsi:type="dcterms:W3CDTF">2026-09-09T05:07:41Z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