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on one model, a length-matched padding control and a</w:t>
      </w:r>
      <w:r>
        <w:t xml:space="preserve"> </w:t>
      </w:r>
      <w:r>
        <w:t xml:space="preserve">reversed-order control leave the collapse unexplained by either.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4"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9"/>
    <w:bookmarkStart w:id="10"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it is not specific</w:t>
      </w:r>
      <w:r>
        <w:t xml:space="preserve"> </w:t>
      </w:r>
      <w:r>
        <w:t xml:space="preserve">to one model or one vendor’s decoder.</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reversing the order collapses just as far, so on the model where these were run</w:t>
      </w:r>
      <w:r>
        <w:t xml:space="preserve"> </w:t>
      </w:r>
      <w:r>
        <w:t xml:space="preserve">neither an equal-length off-topic block nor the reversed order reproduces the collapse</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0"/>
    <w:bookmarkStart w:id="11"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1"/>
    <w:bookmarkStart w:id="13"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2"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w:t>
            </w:r>
          </w:p>
        </w:tc>
      </w:tr>
    </w:tbl>
    <w:bookmarkEnd w:id="12"/>
    <w:bookmarkEnd w:id="13"/>
    <w:bookmarkEnd w:id="14"/>
    <w:bookmarkStart w:id="23" w:name="sec:related"/>
    <w:p>
      <w:pPr>
        <w:pStyle w:val="Heading1"/>
      </w:pPr>
      <w:r>
        <w:t xml:space="preserve">Related Work</w:t>
      </w:r>
    </w:p>
    <w:bookmarkStart w:id="15"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5"/>
    <w:bookmarkStart w:id="17" w:name="sec:related-scalar"/>
    <w:p>
      <w:pPr>
        <w:pStyle w:val="Heading2"/>
      </w:pPr>
      <w:r>
        <w:t xml:space="preserve">Scalar selection and its limits in information retrieval</w:t>
      </w:r>
    </w:p>
    <w:p>
      <w:pPr>
        <w:pStyle w:val="FirstParagraph"/>
      </w:pPr>
      <w:bookmarkStart w:id="16" w:name="sec:related-ir"/>
      <w:bookmarkEnd w:id="16"/>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the partial order calls for,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7"/>
    <w:bookmarkStart w:id="18"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8"/>
    <w:bookmarkStart w:id="21" w:name="sec:related-deficiency"/>
    <w:p>
      <w:pPr>
        <w:pStyle w:val="Heading2"/>
      </w:pPr>
      <w:r>
        <w:t xml:space="preserve">The comparison of experiments in machine learning</w:t>
      </w:r>
    </w:p>
    <w:p>
      <w:pPr>
        <w:pStyle w:val="FirstParagraph"/>
      </w:pPr>
      <w:bookmarkStart w:id="19" w:name="sec:related-llmrep"/>
      <w:bookmarkEnd w:id="19"/>
      <w:bookmarkStart w:id="20" w:name="sec:related-foundations"/>
      <w:bookmarkEnd w:id="20"/>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1"/>
    <w:bookmarkStart w:id="22" w:name="sec:related-designspace"/>
    <w:p>
      <w:pPr>
        <w:pStyle w:val="Heading2"/>
      </w:pPr>
      <w:r>
        <w:t xml:space="preserve">The design space: which selectors the two results reach</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End w:id="22"/>
    <w:bookmarkEnd w:id="23"/>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4"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4"/>
    <w:bookmarkStart w:id="25"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5"/>
    <w:bookmarkStart w:id="26"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6"/>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2025)</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and the two score</w:t>
      </w:r>
      <w:r>
        <w:t xml:space="preserve"> </w:t>
      </w:r>
      <m:oMath>
        <m:r>
          <m:t>65</m:t>
        </m:r>
        <m:r>
          <m:rPr>
            <m:sty m:val="p"/>
          </m:rPr>
          <m:t>%</m:t>
        </m:r>
      </m:oMath>
      <w:r>
        <w:t xml:space="preserve"> </w:t>
      </w:r>
      <w:r>
        <w:t xml:space="preserve">against</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That gap is a point estimate, not a verified separation: at</w:t>
      </w:r>
      <w:r>
        <w:t xml:space="preserve"> </w:t>
      </w:r>
      <m:oMath>
        <m:r>
          <m:t>n</m:t>
        </m:r>
        <m:r>
          <m:rPr>
            <m:sty m:val="p"/>
          </m:rPr>
          <m:t>=</m:t>
        </m:r>
        <m:r>
          <m:t>40</m:t>
        </m:r>
      </m:oMath>
      <w:r>
        <w:t xml:space="preserve"> </w:t>
      </w:r>
      <w:r>
        <w:t xml:space="preserve">the</w:t>
      </w:r>
      <w:r>
        <w:t xml:space="preserve"> </w:t>
      </w:r>
      <w:r>
        <w:t xml:space="preserve">exact</w:t>
      </w:r>
      <w:r>
        <w:t xml:space="preserve"> </w:t>
      </w:r>
      <m:oMath>
        <m:r>
          <m:t>95</m:t>
        </m:r>
        <m:r>
          <m:rPr>
            <m:sty m:val="p"/>
          </m:rPr>
          <m:t>%</m:t>
        </m:r>
      </m:oMath>
      <w:r>
        <w:t xml:space="preserve"> </w:t>
      </w:r>
      <w:r>
        <w:t xml:space="preserve">intervals,</w:t>
      </w:r>
      <w:r>
        <w:t xml:space="preserve"> </w:t>
      </w:r>
      <m:oMath>
        <m:r>
          <m:rPr>
            <m:sty m:val="p"/>
          </m:rPr>
          <m:t>[</m:t>
        </m:r>
        <m:r>
          <m:t>0.48</m:t>
        </m:r>
        <m:r>
          <m:rPr>
            <m:sty m:val="p"/>
          </m:rPr>
          <m:t>,</m:t>
        </m:r>
        <m:r>
          <m:t>0.79</m:t>
        </m:r>
        <m:r>
          <m:rPr>
            <m:sty m:val="p"/>
          </m:rPr>
          <m:t>]</m:t>
        </m:r>
      </m:oMath>
      <w:r>
        <w:t xml:space="preserve"> </w:t>
      </w:r>
      <w:r>
        <w:t xml:space="preserve">and</w:t>
      </w:r>
      <w:r>
        <w:t xml:space="preserve"> </w:t>
      </w:r>
      <m:oMath>
        <m:r>
          <m:rPr>
            <m:sty m:val="p"/>
          </m:rPr>
          <m:t>[</m:t>
        </m:r>
        <m:r>
          <m:t>0.34</m:t>
        </m:r>
        <m:r>
          <m:rPr>
            <m:sty m:val="p"/>
          </m:rPr>
          <m:t>,</m:t>
        </m:r>
        <m:r>
          <m:t>0.66</m:t>
        </m:r>
        <m:r>
          <m:rPr>
            <m:sty m:val="p"/>
          </m:rPr>
          <m:t>]</m:t>
        </m:r>
      </m:oMath>
      <w:r>
        <w:t xml:space="preserve">, overlap. The pair illustrates the</w:t>
      </w:r>
      <w:r>
        <w:t xml:space="preserve"> </w:t>
      </w:r>
      <w:r>
        <w:t xml:space="preserve">possibility rather than certifying an instance of it. Either way the</w:t>
      </w:r>
      <w:r>
        <w:t xml:space="preserve"> </w:t>
      </w:r>
      <m:oMath>
        <m:sSub>
          <m:e>
            <m:r>
              <m:t>δ</m:t>
            </m:r>
          </m:e>
          <m:sub>
            <m:r>
              <m:t>M</m:t>
            </m:r>
          </m:sub>
        </m:sSub>
      </m:oMath>
      <w:r>
        <w:t xml:space="preserve">-restricted order of §4.3 is not read on the quotient.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Neither hypothesis of</w:t>
      </w:r>
      <w:r>
        <w:rPr>
          <w:i/>
          <w:iCs/>
        </w:rPr>
        <w:t xml:space="preserve"> </w:t>
      </w:r>
      <w:r>
        <w:rPr>
          <w:i/>
          <w:iCs/>
        </w:rPr>
        <w:t xml:space="preserve">(a)</w:t>
      </w:r>
      <w:r>
        <w:rPr>
          <w:i/>
          <w:iCs/>
        </w:rPr>
        <w:t xml:space="preserve">, separation or the caps, can be dropped</w:t>
      </w:r>
      <w:r>
        <w:rPr>
          <w:i/>
          <w:iCs/>
        </w:rPr>
        <w:t xml:space="preserve"> </w:t>
      </w:r>
      <w:r>
        <w:rPr>
          <w:i/>
          <w:i/>
          <w:iCs/>
          <w:iCs/>
        </w:rPr>
        <w:t xml:space="preserve">from this</w:t>
      </w:r>
      <w:r>
        <w:rPr>
          <w:i/>
          <w:i/>
          <w:iCs/>
          <w:iCs/>
        </w:rPr>
        <w:t xml:space="preserve"> </w:t>
      </w:r>
      <w:r>
        <w:rPr>
          <w:i/>
          <w:i/>
          <w:iCs/>
          <w:iCs/>
        </w:rPr>
        <w:t xml:space="preserve">criterion</w:t>
      </w:r>
      <w:r>
        <w:rPr>
          <w:i/>
          <w:iCs/>
        </w:rPr>
        <w:t xml:space="preserve">. They are not preconditions of structural incomparability as such: for the sources</w:t>
      </w:r>
      <w:r>
        <w:rPr>
          <w:i/>
          <w:iCs/>
        </w:rPr>
        <w:t xml:space="preserve"> </w:t>
      </w:r>
      <w:r>
        <w:rPr>
          <w:i/>
          <w:iCs/>
        </w:rPr>
        <w:t xml:space="preserve">this paper measures, Lemma 1 already separates</w:t>
      </w:r>
      <w:r>
        <w:rPr>
          <w:i/>
          <w:iCs/>
        </w:rPr>
        <w:t xml:space="preserve"> </w:t>
      </w:r>
      <m:oMath>
        <m:sSub>
          <m:e>
            <m:r>
              <m:t>W</m:t>
            </m:r>
          </m:e>
          <m:sub>
            <m:r>
              <m:t>1</m:t>
            </m:r>
          </m:sub>
        </m:sSub>
      </m:oMath>
      <w:r>
        <w:rPr>
          <w:i/>
          <w:iCs/>
        </w:rPr>
        <w:t xml:space="preserve"> </w:t>
      </w:r>
      <w:r>
        <w:rPr>
          <w:i/>
          <w:iCs/>
        </w:rPr>
        <w:t xml:space="preserve">from</w:t>
      </w:r>
      <w:r>
        <w:rPr>
          <w:i/>
          <w:iCs/>
        </w:rPr>
        <w:t xml:space="preserve"> </w:t>
      </w:r>
      <m:oMath>
        <m:sSub>
          <m:e>
            <m:r>
              <m:t>W</m:t>
            </m:r>
          </m:e>
          <m:sub>
            <m:r>
              <m:t>2</m:t>
            </m:r>
          </m:sub>
        </m:sSub>
      </m:oMath>
      <w:r>
        <w:rPr>
          <w:i/>
          <w:iCs/>
        </w:rPr>
        <w:t xml:space="preserve"> </w:t>
      </w:r>
      <w:r>
        <w:rPr>
          <w:i/>
          <w:iCs/>
        </w:rPr>
        <w:t xml:space="preserve">by coordinate</w:t>
      </w:r>
      <w:r>
        <w:rPr>
          <w:i/>
          <w:iCs/>
        </w:rPr>
        <w:t xml:space="preserve"> </w:t>
      </w:r>
      <w:r>
        <w:rPr>
          <w:i/>
          <w:iCs/>
        </w:rPr>
        <w:t xml:space="preserve">non-refinement, with no caps at all. Lemma 2</w:t>
      </w:r>
      <w:r>
        <w:rPr>
          <w:i/>
          <w:iCs/>
        </w:rPr>
        <w:t xml:space="preserve">(a)</w:t>
      </w:r>
      <w:r>
        <w:rPr>
          <w:i/>
          <w:iCs/>
        </w:rPr>
        <w:t xml:space="preserve"> </w:t>
      </w:r>
      <w:r>
        <w:rPr>
          <w:i/>
          <w:iCs/>
        </w:rPr>
        <w:t xml:space="preserve">is a different route to</w:t>
      </w:r>
      <w:r>
        <w:rPr>
          <w:i/>
          <w:iCs/>
        </w:rPr>
        <w:t xml:space="preserve"> </w:t>
      </w:r>
      <w:r>
        <w:rPr>
          <w:i/>
          <w:iCs/>
        </w:rPr>
        <w:t xml:space="preserve">the same conclusion</w:t>
      </w:r>
      <w:r>
        <w:rPr>
          <w:i/>
          <w:iCs/>
        </w:rPr>
        <w:t xml:space="preserve"> </w:t>
      </w:r>
      <w:r>
        <w:rPr>
          <w:i/>
          <w:i/>
          <w:iCs/>
          <w:iCs/>
        </w:rPr>
        <w:t xml:space="preserve">within the same projection setting</w:t>
      </w:r>
      <w:r>
        <w:rPr>
          <w:i/>
          <w:iCs/>
        </w:rPr>
        <w:t xml:space="preserve">: it argues from Bayes values rather</w:t>
      </w:r>
      <w:r>
        <w:rPr>
          <w:i/>
          <w:iCs/>
        </w:rPr>
        <w:t xml:space="preserve"> </w:t>
      </w:r>
      <w:r>
        <w:rPr>
          <w:i/>
          <w:iCs/>
        </w:rPr>
        <w:t xml:space="preserve">than from</w:t>
      </w:r>
      <w:r>
        <w:rPr>
          <w:i/>
          <w:iCs/>
        </w:rPr>
        <w:t xml:space="preserve"> </w:t>
      </w:r>
      <m:oMath>
        <m:r>
          <m:t>σ</m:t>
        </m:r>
      </m:oMath>
      <w:r>
        <w:rPr>
          <w:i/>
          <w:iCs/>
        </w:rPr>
        <w:t xml:space="preserve">-algebras, and the caps are what that argument costs. It is not a generalization</w:t>
      </w:r>
      <w:r>
        <w:rPr>
          <w:i/>
          <w:iCs/>
        </w:rPr>
        <w:t xml:space="preserve"> </w:t>
      </w:r>
      <w:r>
        <w:rPr>
          <w:i/>
          <w:iCs/>
        </w:rPr>
        <w:t xml:space="preserve">to arbitrary sources; a criterion for those would be a separate statement we do not prove. What the caps do here is show why a</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alone proves nothing:</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strictly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the superset revealing one further independent non-degenerate coordinate),</w:t>
      </w:r>
      <w:r>
        <w:rPr>
          <w:i/>
          <w:iCs/>
        </w:rPr>
        <w:t xml:space="preserve"> </w:t>
      </w:r>
      <w:r>
        <w:rPr>
          <w:i/>
          <w:iCs/>
        </w:rPr>
        <w:t xml:space="preserve">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w:t>
      </w:r>
      <w:r>
        <w:rPr>
          <w:i/>
          <w:iCs/>
        </w:rPr>
        <w:t xml:space="preserve"> </w:t>
      </w:r>
      <w:r>
        <w:rPr>
          <w:i/>
          <w:iCs/>
        </w:rPr>
        <w:t xml:space="preserve">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The two cases should not be run together.</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 a</w:t>
      </w:r>
      <w:r>
        <w:rPr>
          <w:i/>
          <w:iCs/>
        </w:rPr>
        <w:t xml:space="preserve"> </w:t>
      </w:r>
      <w:r>
        <w:rPr>
          <w:i/>
          <w:i/>
          <w:iCs/>
          <w:iCs/>
        </w:rPr>
        <w:t xml:space="preserve">strict comparability</w:t>
      </w:r>
      <w:r>
        <w:rPr>
          <w:i/>
          <w:iCs/>
        </w:rPr>
        <w:t xml:space="preserve"> </w:t>
      </w:r>
      <w:r>
        <w:rPr>
          <w:i/>
          <w:iCs/>
        </w:rPr>
        <w:t xml:space="preserve">whose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preferences nonetheless oppose; the distinct</w:t>
      </w:r>
      <w:r>
        <w:rPr>
          <w:i/>
          <w:iCs/>
        </w:rPr>
        <w:t xml:space="preserve"> </w:t>
      </w:r>
      <w:r>
        <w:rPr>
          <w:i/>
          <w:iCs/>
        </w:rPr>
        <w:t xml:space="preserve">phenomenon of a rule preferring differently between two</w:t>
      </w:r>
      <w:r>
        <w:rPr>
          <w:i/>
          <w:iCs/>
        </w:rPr>
        <w:t xml:space="preserve"> </w:t>
      </w:r>
      <w:r>
        <w:rPr>
          <w:i/>
          <w:i/>
          <w:iCs/>
          <w:iCs/>
        </w:rPr>
        <w:t xml:space="preserve">equivalent</w:t>
      </w:r>
      <w:r>
        <w:rPr>
          <w:i/>
          <w:iCs/>
        </w:rPr>
        <w:t xml:space="preserve"> </w:t>
      </w:r>
      <w:r>
        <w:rPr>
          <w:i/>
          <w:iCs/>
        </w:rPr>
        <w:t xml:space="preserve">experiments is</w:t>
      </w:r>
      <w:r>
        <w:rPr>
          <w:i/>
          <w:iCs/>
        </w:rPr>
        <w:t xml:space="preserve"> </w:t>
      </w:r>
      <w:r>
        <w:rPr>
          <w:i/>
          <w:iCs/>
        </w:rPr>
        <w:t xml:space="preserve">illustrated by the padding pair</w:t>
      </w:r>
      <w:r>
        <w:rPr>
          <w:i/>
          <w:iCs/>
        </w:rP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rPr>
          <w:i/>
          <w:iCs/>
        </w:rPr>
        <w:t xml:space="preserve">, where the added block carries no</w:t>
      </w:r>
      <w:r>
        <w:rPr>
          <w:i/>
          <w:iCs/>
        </w:rPr>
        <w:t xml:space="preserve"> </w:t>
      </w:r>
      <w:r>
        <w:rPr>
          <w:i/>
          <w:iCs/>
        </w:rPr>
        <w:t xml:space="preserve">coordinate any verifier reads (Remark 2). That a representation-sensitive decoder</w:t>
      </w:r>
      <w:r>
        <w:rPr>
          <w:i/>
          <w:iCs/>
        </w:rPr>
        <w:t xml:space="preserve"> </w:t>
      </w:r>
      <w:r>
        <w:rPr>
          <w:i/>
          <w:i/>
          <w:iCs/>
          <w:iCs/>
        </w:rPr>
        <w:t xml:space="preserve">can</w:t>
      </w:r>
      <w:r>
        <w:rPr>
          <w:i/>
          <w:iCs/>
        </w:rPr>
        <w:t xml:space="preserve"> </w:t>
      </w:r>
      <w:r>
        <w:rPr>
          <w:i/>
          <w:iCs/>
        </w:rPr>
        <w:t xml:space="preserve">do this in general is a structural observation, not something our single measured</w:t>
      </w:r>
      <w:r>
        <w:rPr>
          <w:i/>
          <w:iCs/>
        </w:rPr>
        <w:t xml:space="preserve"> </w:t>
      </w:r>
      <w:r>
        <w:rPr>
          <w:i/>
          <w:iCs/>
        </w:rPr>
        <w:t xml:space="preserve">difference certifies.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It is worth fixing what each formal object does, since they are easy to run together.</w:t>
      </w:r>
      <w:r>
        <w:t xml:space="preserve"> </w:t>
      </w:r>
      <w:r>
        <w:t xml:space="preserve">Lemma 1 establishes structural incomparability for the specified projection</w:t>
      </w:r>
      <w:r>
        <w:t xml:space="preserve"> </w:t>
      </w:r>
      <w:r>
        <w:t xml:space="preserve">sources, and needs no prior, no caps and no measurement. Lemma 2 gives a</w:t>
      </w:r>
      <w:r>
        <w:t xml:space="preserve"> </w:t>
      </w:r>
      <w:r>
        <w:rPr>
          <w:i/>
          <w:iCs/>
        </w:rPr>
        <w:t xml:space="preserve">conditional</w:t>
      </w:r>
      <w:r>
        <w:t xml:space="preserve"> </w:t>
      </w:r>
      <w:r>
        <w:t xml:space="preserve">Bayes-value separation criterion for a pair not handed to us that way, and</w:t>
      </w:r>
      <w:r>
        <w:t xml:space="preserve"> </w:t>
      </w:r>
      <w:r>
        <w:t xml:space="preserve">clarifies why a fixed-decoder crossover alone is insufficient; its guessing caps are assumptions,</w:t>
      </w:r>
      <w:r>
        <w:t xml:space="preserve"> </w:t>
      </w:r>
      <w:r>
        <w:t xml:space="preserve">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is a different kind of statement again: it concerns the decoder’s</w:t>
      </w:r>
      <w:r>
        <w:t xml:space="preserve"> </w:t>
      </w:r>
      <w:r>
        <w:t xml:space="preserve">realized cross-advantage on named tasks, which the experiments assess directly. Of the two</w:t>
      </w:r>
      <w:r>
        <w:t xml:space="preserve"> </w:t>
      </w:r>
      <w:r>
        <w:t xml:space="preserve">controls, the superset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Blackwell-comparable despite opposing</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while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illustrates the separate matter of</w:t>
      </w:r>
      <w:r>
        <w:t xml:space="preserve"> </w:t>
      </w:r>
      <w:r>
        <w:t xml:space="preserve">representation dependence</w:t>
      </w:r>
      <w:r>
        <w:t xml:space="preserve"> </w:t>
      </w:r>
      <w:r>
        <w:rPr>
          <w:i/>
          <w:iCs/>
        </w:rPr>
        <w:t xml:space="preserve">within</w:t>
      </w:r>
      <w:r>
        <w:t xml:space="preserve"> </w:t>
      </w:r>
      <w:r>
        <w:t xml:space="preserve">an equivalence class.</w:t>
      </w:r>
    </w:p>
    <w:bookmarkEnd w:id="42"/>
    <w:bookmarkEnd w:id="43"/>
    <w:bookmarkStart w:id="53"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4"/>
    <w:bookmarkStart w:id="45"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7"/>
    <w:bookmarkEnd w:id="48"/>
    <w:bookmarkStart w:id="52"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bookmarkStart w:id="50"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0"/>
    <w:bookmarkStart w:id="51"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1"/>
    <w:p>
      <w:pPr>
        <w:pStyle w:val="BodyText"/>
      </w:pPr>
      <w:r>
        <w:t xml:space="preserve">Proposition 2 is deliberately narrow. It constrains a query-conditioned</w:t>
      </w:r>
      <w:r>
        <w:t xml:space="preserve"> </w:t>
      </w:r>
      <w:r>
        <w:t xml:space="preserve">score</w:t>
      </w:r>
      <w:r>
        <w:t xml:space="preserve"> </w:t>
      </w:r>
      <m:oMath>
        <m:r>
          <m:t>φ</m:t>
        </m:r>
        <m:r>
          <m:rPr>
            <m:sty m:val="p"/>
          </m:rPr>
          <m:t>(</m:t>
        </m:r>
        <m:r>
          <m:t>W</m:t>
        </m:r>
        <m:r>
          <m:rPr>
            <m:sty m:val="p"/>
          </m:rPr>
          <m:t>,</m:t>
        </m:r>
        <m:r>
          <m:t>T</m:t>
        </m:r>
        <m:r>
          <m:rPr>
            <m:sty m:val="p"/>
          </m:rPr>
          <m:t>)</m:t>
        </m:r>
      </m:oMath>
      <w:r>
        <w:t xml:space="preserve"> </w:t>
      </w:r>
      <w:r>
        <w:t xml:space="preserve">only when that score meets hypothesis</w:t>
      </w:r>
      <w:r>
        <w:t xml:space="preserve"> </w:t>
      </w:r>
      <w:r>
        <w:t xml:space="preserve">(a)</w:t>
      </w:r>
      <w:r>
        <w:t xml:space="preserve"> </w:t>
      </w:r>
      <w:r>
        <w:t xml:space="preserve">or</w:t>
      </w:r>
      <w:r>
        <w:t xml:space="preserve"> </w:t>
      </w:r>
      <w:r>
        <w:t xml:space="preserve">(b)</w:t>
      </w:r>
      <w:r>
        <w:t xml:space="preserve">; it does</w:t>
      </w:r>
      <w:r>
        <w:t xml:space="preserve"> </w:t>
      </w:r>
      <w:r>
        <w:t xml:space="preserve">not cover the topical class as a whole, and it says nothing about an arbitrary learned reranker,</w:t>
      </w:r>
      <w:r>
        <w:t xml:space="preserve"> </w:t>
      </w:r>
      <w:r>
        <w:t xml:space="preserve">which might read the private coordinate, or about a router over public task metadata</w:t>
      </w:r>
      <w:r>
        <w:t xml:space="preserve"> </w:t>
      </w:r>
      <w:r>
        <w:t xml:space="preserve">(Remark 5). Note also that it is a statement about</w:t>
      </w:r>
      <w:r>
        <w:t xml:space="preserve"> </w:t>
      </w:r>
      <m:oMath>
        <m:r>
          <m:t>φ</m:t>
        </m:r>
        <m:r>
          <m:rPr>
            <m:sty m:val="p"/>
          </m:rPr>
          <m:t>(</m:t>
        </m:r>
        <m:r>
          <m:t>W</m:t>
        </m:r>
        <m:r>
          <m:rPr>
            <m:sty m:val="p"/>
          </m:rPr>
          <m:t>,</m:t>
        </m:r>
        <m:r>
          <m:t>T</m:t>
        </m:r>
        <m:r>
          <m:rPr>
            <m:sty m:val="p"/>
          </m:rPr>
          <m:t>)</m:t>
        </m:r>
      </m:oMath>
      <w:r>
        <w:t xml:space="preserve">, a score that</w:t>
      </w:r>
      <w:r>
        <w:t xml:space="preserve"> </w:t>
      </w:r>
      <w:r>
        <w:t xml:space="preserve">may vary with the task; Theorem 2 is the separate statement about</w:t>
      </w:r>
      <w:r>
        <w:t xml:space="preserve"> </w:t>
      </w:r>
      <m:oMath>
        <m:r>
          <m:t>φ</m:t>
        </m:r>
        <m:r>
          <m:rPr>
            <m:sty m:val="p"/>
          </m:rPr>
          <m:t>(</m:t>
        </m:r>
        <m:r>
          <m:t>W</m:t>
        </m:r>
        <m:r>
          <m:rPr>
            <m:sty m:val="p"/>
          </m:rPr>
          <m:t>)</m:t>
        </m:r>
      </m:oMath>
      <w:r>
        <w:t xml:space="preserve">, one number per source fixed across all tasks. We therefore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w:t>
      </w:r>
      <w:r>
        <w:t xml:space="preserve"> </w:t>
      </w:r>
      <w:r>
        <w:t xml:space="preserve">§7.4.2.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90</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on every one of the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2"/>
    <w:bookmarkEnd w:id="53"/>
    <w:bookmarkStart w:id="65"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5"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4"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4"/>
    <w:bookmarkEnd w:id="55"/>
    <w:bookmarkStart w:id="58"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6"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6"/>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7"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7"/>
    <w:bookmarkEnd w:id="58"/>
    <w:bookmarkStart w:id="61"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59"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59"/>
    <w:bookmarkStart w:id="60"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0"/>
    <w:bookmarkEnd w:id="61"/>
    <w:bookmarkStart w:id="63"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2"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2"/>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3"/>
    <w:bookmarkStart w:id="64"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4"/>
    <w:bookmarkEnd w:id="65"/>
    <w:bookmarkStart w:id="103"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8"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6"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6"/>
    <w:bookmarkStart w:id="67"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7"/>
    <w:bookmarkEnd w:id="68"/>
    <w:bookmarkStart w:id="71"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9"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9"/>
    <w:bookmarkStart w:id="70"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0"/>
    <w:bookmarkEnd w:id="71"/>
    <w:bookmarkStart w:id="81" w:name="sec:methodology"/>
    <w:p>
      <w:pPr>
        <w:pStyle w:val="Heading2"/>
      </w:pPr>
      <w:r>
        <w:t xml:space="preserve">Methodology</w:t>
      </w:r>
    </w:p>
    <w:bookmarkStart w:id="72"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2"/>
    <w:bookmarkStart w:id="74"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3">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4"/>
    <w:bookmarkStart w:id="75"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5"/>
    <w:bookmarkStart w:id="76"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6"/>
    <w:bookmarkStart w:id="77"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At</w:t>
      </w:r>
      <w:r>
        <w:t xml:space="preserve"> </w:t>
      </w:r>
      <m:oMath>
        <m:acc>
          <m:accPr>
            <m:chr m:val="̂"/>
          </m:accPr>
          <m:e>
            <m:r>
              <m:t>p</m:t>
            </m:r>
          </m:e>
        </m:acc>
        <m:r>
          <m:rPr>
            <m:sty m:val="p"/>
          </m:rPr>
          <m:t>=</m:t>
        </m:r>
        <m:r>
          <m:t>0</m:t>
        </m:r>
      </m:oMath>
      <w:r>
        <w:t xml:space="preserve"> </w:t>
      </w:r>
      <w:r>
        <w:t xml:space="preserve">and</w:t>
      </w:r>
      <w:r>
        <w:t xml:space="preserve"> </w:t>
      </w:r>
      <m:oMath>
        <m:acc>
          <m:accPr>
            <m:chr m:val="̂"/>
          </m:accPr>
          <m:e>
            <m:r>
              <m:t>p</m:t>
            </m:r>
          </m:e>
        </m:acc>
        <m:r>
          <m:rPr>
            <m:sty m:val="p"/>
          </m:rPr>
          <m:t>=</m:t>
        </m:r>
        <m:r>
          <m:t>1</m:t>
        </m:r>
      </m:oMath>
      <w:r>
        <w:t xml:space="preserve"> </w:t>
      </w:r>
      <w:r>
        <w:t xml:space="preserve">the</w:t>
      </w:r>
      <w:r>
        <w:t xml:space="preserve"> </w:t>
      </w:r>
      <w:r>
        <w:t xml:space="preserve">interval becomes one-sided but does not degenerate to a point: at</w:t>
      </w:r>
      <w:r>
        <w:t xml:space="preserve"> </w:t>
      </w:r>
      <m:oMath>
        <m:r>
          <m:t>n</m:t>
        </m:r>
        <m:r>
          <m:rPr>
            <m:sty m:val="p"/>
          </m:rPr>
          <m:t>=</m:t>
        </m:r>
        <m:r>
          <m:t>40</m:t>
        </m:r>
      </m:oMath>
      <w:r>
        <w:t xml:space="preserve"> </w:t>
      </w:r>
      <w:r>
        <w:t xml:space="preserve">and the level Figure</w:t>
      </w:r>
      <w:r>
        <w:t xml:space="preserve"> </w:t>
      </w:r>
      <w:r>
        <w:t xml:space="preserve">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0.872</m:t>
        </m:r>
        <m:r>
          <m:rPr>
            <m:sty m:val="p"/>
          </m:rPr>
          <m:t>,</m:t>
        </m:r>
        <m:r>
          <m:t> </m:t>
        </m:r>
        <m:r>
          <m:t>1</m:t>
        </m:r>
        <m:r>
          <m:rPr>
            <m:sty m:val="p"/>
          </m:rPr>
          <m:t>]</m:t>
        </m:r>
      </m:oMath>
      <w:r>
        <w:t xml:space="preserve">. It is that</w:t>
      </w:r>
      <w:r>
        <w:t xml:space="preserve"> </w:t>
      </w:r>
      <w:r>
        <w:t xml:space="preserve">residual width the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 intermediate proportions need a larger</w:t>
      </w:r>
      <w:r>
        <w:t xml:space="preserve"> </w:t>
      </w:r>
      <m:oMath>
        <m:r>
          <m:t>n</m:t>
        </m:r>
      </m:oMath>
      <w:r>
        <w:t xml:space="preserve"> </w:t>
      </w:r>
      <w:r>
        <w:t xml:space="preserve">for the same margin.</w:t>
      </w:r>
    </w:p>
    <w:bookmarkEnd w:id="77"/>
    <w:bookmarkStart w:id="78"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0.26</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78"/>
    <w:bookmarkStart w:id="79"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79"/>
    <w:bookmarkStart w:id="80"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We report the decoding parameters, seeding</w:t>
      </w:r>
      <w:r>
        <w:t xml:space="preserve"> </w:t>
      </w:r>
      <w:r>
        <w:t xml:space="preserve">policy, and retry policy in Appendix C.</w:t>
      </w:r>
    </w:p>
    <w:bookmarkEnd w:id="80"/>
    <w:bookmarkEnd w:id="81"/>
    <w:bookmarkStart w:id="93"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2"/>
    <w:bookmarkEnd w:id="83"/>
    <w:bookmarkStart w:id="85"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4"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End w:id="84"/>
    <w:bookmarkEnd w:id="85"/>
    <w:bookmarkStart w:id="91"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ten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two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and DeepSeek’s</w:t>
      </w:r>
      <w:r>
        <w:t xml:space="preserve"> </w:t>
      </w:r>
      <w:r>
        <w:rPr>
          <w:rStyle w:val="VerbatimChar"/>
        </w:rPr>
        <w:t xml:space="preserve">api_argorder</w:t>
      </w:r>
      <w:r>
        <w:t xml:space="preserve">; the mildest verified collapse is DeepSeek’s</w:t>
      </w:r>
      <w:r>
        <w:t xml:space="preserve"> </w:t>
      </w:r>
      <w:r>
        <w:rPr>
          <w:rStyle w:val="VerbatimChar"/>
        </w:rPr>
        <w:t xml:space="preserve">api_argorder</w:t>
      </w:r>
      <w:r>
        <w:t xml:space="preserve"> </w:t>
      </w:r>
      <w:r>
        <w:t xml:space="preserve">at</w:t>
      </w:r>
      <w:r>
        <w:t xml:space="preserve"> </w:t>
      </w:r>
      <m:oMath>
        <m:r>
          <m:t>68</m:t>
        </m:r>
        <m:r>
          <m:rPr>
            <m:sty m:val="p"/>
          </m:rPr>
          <m:t>%</m:t>
        </m:r>
        <m:r>
          <m:rPr>
            <m:sty m:val="p"/>
          </m:rPr>
          <m:t>→</m:t>
        </m:r>
        <m:r>
          <m:t>5</m:t>
        </m:r>
        <m:r>
          <m:rPr>
            <m:sty m:val="p"/>
          </m:rPr>
          <m:t>%</m:t>
        </m:r>
      </m:oMath>
      <w:r>
        <w:t xml:space="preserve"> </w:t>
      </w:r>
      <w:r>
        <w:t xml:space="preserve">with upper bound</w:t>
      </w:r>
      <w:r>
        <w:t xml:space="preserve"> </w:t>
      </w:r>
      <m:oMath>
        <m:r>
          <m:rPr>
            <m:sty m:val="p"/>
          </m:rPr>
          <m:t>−</m:t>
        </m:r>
        <m:r>
          <m:t>0.38</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superset-</w:t>
      </w:r>
      <w:r>
        <w:rPr>
          <w:i/>
          <w:iCs/>
        </w:rPr>
        <w:t xml:space="preserve">monotonicity</w:t>
      </w:r>
      <w:r>
        <w:t xml:space="preserve"> </w:t>
      </w:r>
      <w:r>
        <w:t xml:space="preserve">for these fixed rules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A1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87"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so the</w:t>
      </w:r>
      <w:r>
        <w:t xml:space="preserve"> </w:t>
      </w:r>
      <w:r>
        <w:t xml:space="preserve">incomparable pair is verified. Non-dominance is likewise a</w:t>
      </w:r>
      <w:r>
        <w:t xml:space="preserve"> </w:t>
      </w:r>
      <w:r>
        <w:rPr>
          <w:i/>
          <w:iCs/>
        </w:rPr>
        <w:t xml:space="preserve">lower</w:t>
      </w:r>
      <w:r>
        <w:t xml:space="preserve">-bound statement, and the</w:t>
      </w:r>
      <w:r>
        <w:t xml:space="preserve"> </w:t>
      </w:r>
      <w:r>
        <w:t xml:space="preserve">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0.6556</m:t>
        </m:r>
      </m:oMath>
      <w:r>
        <w:t xml:space="preserve">, witnessed by</w:t>
      </w:r>
      <w:r>
        <w:t xml:space="preserve"> </w:t>
      </w:r>
      <w:r>
        <w:rPr>
          <w:rStyle w:val="VerbatimChar"/>
        </w:rPr>
        <w:t xml:space="preserve">api_argorder</w:t>
      </w:r>
      <w:r>
        <w:t xml:space="preserve">,</w:t>
      </w:r>
      <w:r>
        <w:t xml:space="preserve"> </w:t>
      </w:r>
      <w:r>
        <w:t xml:space="preserve">verifies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so</w:t>
      </w:r>
      <w:r>
        <w:t xml:space="preserve"> </w:t>
      </w:r>
      <m:oMath>
        <m:sSub>
          <m:e>
            <m:r>
              <m:t>W</m:t>
            </m:r>
          </m:e>
          <m:sub>
            <m:r>
              <m:t>1</m:t>
            </m:r>
            <m:r>
              <m:rPr>
                <m:sty m:val="p"/>
              </m:rPr>
              <m:t>+</m:t>
            </m:r>
          </m:sub>
        </m:sSub>
      </m:oMath>
      <w:r>
        <w:t xml:space="preserve"> </w:t>
      </w:r>
      <w:r>
        <w:t xml:space="preserve">does not dominate</w:t>
      </w:r>
      <w:r>
        <w:t xml:space="preserve"> </w:t>
      </w:r>
      <m:oMath>
        <m:sSub>
          <m:e>
            <m:r>
              <m:t>W</m:t>
            </m:r>
          </m:e>
          <m:sub>
            <m:r>
              <m:t>1</m:t>
            </m:r>
          </m:sub>
        </m:sSub>
      </m:oMath>
      <w:r>
        <w:t xml:space="preserve">;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verifies the converse, so neither dominates the other. (An upper</w:t>
      </w:r>
      <w:r>
        <w:t xml:space="preserve"> </w:t>
      </w:r>
      <w:r>
        <w:t xml:space="preserve">bound could not carry either claim: it bounds how large the advantage</w:t>
      </w:r>
      <w:r>
        <w:t xml:space="preserve"> </w:t>
      </w:r>
      <w:r>
        <w:rPr>
          <w:i/>
          <w:iCs/>
        </w:rPr>
        <w:t xml:space="preserve">might</w:t>
      </w:r>
      <w:r>
        <w:t xml:space="preserve"> </w:t>
      </w:r>
      <w:r>
        <w:t xml:space="preserve">be, not that</w:t>
      </w:r>
      <w:r>
        <w:t xml:space="preserve"> </w:t>
      </w:r>
      <w:r>
        <w:t xml:space="preserve">one exists.) The remaining relation is the one the front turns on, and there only an upper bound</w:t>
      </w:r>
      <w:r>
        <w:t xml:space="preserve"> </w:t>
      </w:r>
      <w:r>
        <w:t xml:space="preserve">is available:</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not an exact</w:t>
      </w:r>
      <w:r>
        <w:t xml:space="preserve"> </w:t>
      </w:r>
      <w:r>
        <w:t xml:space="preserve">one, and it says 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Excluding</w:t>
      </w:r>
      <w:r>
        <w:t xml:space="preserve"> </w:t>
      </w:r>
      <m:oMath>
        <m:sSub>
          <m:e>
            <m:r>
              <m:t>W</m:t>
            </m:r>
          </m:e>
          <m:sub>
            <m:r>
              <m:t>2</m:t>
            </m:r>
          </m:sub>
        </m:sSub>
      </m:oMath>
      <w:r>
        <w:t xml:space="preserve"> </w:t>
      </w:r>
      <w:r>
        <w:t xml:space="preserve">is therefore licensed only up to that margin. What the coverage event</w:t>
      </w:r>
      <w:r>
        <w:t xml:space="preserve"> </w:t>
      </w:r>
      <w:r>
        <w:t xml:space="preserve">establishes exactly is the 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w:t>
      </w:r>
      <w:r>
        <w:t xml:space="preserve"> </w:t>
      </w:r>
      <m:oMath>
        <m:r>
          <m:t>F</m:t>
        </m:r>
      </m:oMath>
      <w:r>
        <w:t xml:space="preserve"> </w:t>
      </w:r>
      <w:r>
        <w:t xml:space="preserve">regardless.</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Every relation on</w:t>
      </w:r>
      <w:r>
        <w:t xml:space="preserve"> </w:t>
      </w:r>
      <w:r>
        <w:t xml:space="preserve">the right is read off one coverage event, the</w:t>
      </w:r>
      <w:r>
        <w:t xml:space="preserve"> </w:t>
      </w:r>
      <m:oMath>
        <m:r>
          <m:t>3</m:t>
        </m:r>
        <m:r>
          <m:rPr>
            <m:sty m:val="p"/>
          </m:rPr>
          <m:t>×</m:t>
        </m:r>
        <m:r>
          <m:t>4</m:t>
        </m:r>
      </m:oMath>
      <w:r>
        <w:t xml:space="preserve"> </w:t>
      </w:r>
      <w:r>
        <w:t xml:space="preserve">Clopper–Pearson intervals at</w:t>
      </w:r>
      <w:r>
        <w:t xml:space="preserve"> </w:t>
      </w:r>
      <w:r>
        <w:t xml:space="preserve">per-interval level</w:t>
      </w:r>
      <w:r>
        <w:t xml:space="preserve"> </w:t>
      </w:r>
      <m:oMath>
        <m:r>
          <m:t>η</m:t>
        </m:r>
        <m:r>
          <m:rPr>
            <m:sty m:val="p"/>
          </m:rPr>
          <m:t>/</m:t>
        </m:r>
        <m:r>
          <m:t>12</m:t>
        </m:r>
      </m:oMath>
      <w:r>
        <w:t xml:space="preserve">. The</w:t>
      </w:r>
      <w:r>
        <w:t xml:space="preserve"> </w:t>
      </w:r>
      <w:r>
        <w:rPr>
          <w:rStyle w:val="VerbatimChar"/>
        </w:rPr>
        <w:t xml:space="preserve">none</w:t>
      </w:r>
      <w:r>
        <w:t xml:space="preserve"> </w:t>
      </w:r>
      <w:r>
        <w:t xml:space="preserve">arm appears only on the left: it is not in that</w:t>
      </w:r>
      <w:r>
        <w:t xml:space="preserve"> </w:t>
      </w:r>
      <w:r>
        <w:t xml:space="preserve">family, so no relation to it is verified here, and on</w:t>
      </w:r>
      <w:r>
        <w:t xml:space="preserve"> </w:t>
      </w:r>
      <w:r>
        <w:rPr>
          <w:rStyle w:val="VerbatimChar"/>
        </w:rPr>
        <w:t xml:space="preserve">api_argorder</w:t>
      </w:r>
      <w:r>
        <w:t xml:space="preserve"> </w:t>
      </w:r>
      <w:r>
        <w:t xml:space="preserve">its</w:t>
      </w:r>
      <w:r>
        <w:t xml:space="preserve"> </w:t>
      </w:r>
      <m:oMath>
        <m:r>
          <m:t>1</m:t>
        </m:r>
        <m:r>
          <m:rPr>
            <m:sty m:val="p"/>
          </m:rPr>
          <m:t>/</m:t>
        </m:r>
        <m:r>
          <m:t>40</m:t>
        </m:r>
      </m:oMath>
      <w:r>
        <w:t xml:space="preserve"> </w:t>
      </w:r>
      <w:r>
        <w:t xml:space="preserve">against</w:t>
      </w:r>
      <w:r>
        <w:t xml:space="preserve"> </w:t>
      </w:r>
      <m:oMath>
        <m:sSub>
          <m:e>
            <m:r>
              <m:t>W</m:t>
            </m:r>
          </m:e>
          <m:sub>
            <m:r>
              <m:t>2</m:t>
            </m:r>
          </m:sub>
        </m:sSub>
      </m:oMath>
      <w:r>
        <w:t xml:space="preserve">’s</w:t>
      </w:r>
      <w:r>
        <w:t xml:space="preserve"> </w:t>
      </w:r>
      <m:oMath>
        <m:r>
          <m:t>0</m:t>
        </m:r>
        <m:r>
          <m:rPr>
            <m:sty m:val="p"/>
          </m:rPr>
          <m:t>/</m:t>
        </m:r>
        <m:r>
          <m:t>40</m:t>
        </m:r>
      </m:oMath>
      <w:r>
        <w:t xml:space="preserve"> </w:t>
      </w:r>
      <w:r>
        <w:t xml:space="preserve">would not support one even as a point estimate. Solid edges are verified by a</w:t>
      </w:r>
      <w:r>
        <w:t xml:space="preserve"> </w:t>
      </w:r>
      <w:r>
        <w:t xml:space="preserve">lower bound; the 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dotted because it is only an</w:t>
      </w:r>
      <w:r>
        <w:t xml:space="preserve"> </w:t>
      </w:r>
      <m:oMath>
        <m:r>
          <m:t>ε</m:t>
        </m:r>
      </m:oMath>
      <w:r>
        <w:t xml:space="preserve">-dominance,</w:t>
      </w:r>
      <w:r>
        <w:t xml:space="preserve"> </w:t>
      </w:r>
      <m:oMath>
        <m:r>
          <m:t>ε</m:t>
        </m:r>
        <m:r>
          <m:rPr>
            <m:sty m:val="p"/>
          </m:rPr>
          <m:t>=</m:t>
        </m:r>
        <m:r>
          <m:t>0.1281</m:t>
        </m:r>
      </m:oMath>
      <w:r>
        <w:t xml:space="preserve">. The right-hand diagram is therefore a verified</w:t>
      </w:r>
      <w:r>
        <w:t xml:space="preserve"> </w:t>
      </w:r>
      <w:r>
        <w:rPr>
          <w:i/>
          <w:iCs/>
        </w:rPr>
        <w:t xml:space="preserve">partial</w:t>
      </w:r>
      <w:r>
        <w:t xml:space="preserve"> </w:t>
      </w:r>
      <w:r>
        <w:t xml:space="preserve">picture, not an exactly determined Hasse diagram.</w:t>
      </w:r>
    </w:p>
    <w:bookmarkEnd w:id="86"/>
    <w:bookmarkEnd w:id="87"/>
    <w:bookmarkStart w:id="88"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8"/>
    <w:bookmarkStart w:id="89" w:name="what-the-position-controls-show."/>
    <w:p>
      <w:pPr>
        <w:pStyle w:val="Heading4"/>
      </w:pPr>
      <w:r>
        <w:t xml:space="preserve">What the position controls show.</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directly, by a 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that puts</w:t>
      </w:r>
      <w:r>
        <w:t xml:space="preserve"> </w:t>
      </w:r>
      <m:oMath>
        <m:sSub>
          <m:e>
            <m:r>
              <m:t>W</m:t>
            </m:r>
          </m:e>
          <m:sub>
            <m:r>
              <m:t>1</m:t>
            </m:r>
          </m:sub>
        </m:sSub>
      </m:oMath>
      <w:r>
        <w:t xml:space="preserve"> </w:t>
      </w:r>
      <w:r>
        <w:t xml:space="preserve">first, measured in the same</w:t>
      </w:r>
      <w:r>
        <w:t xml:space="preserve"> </w:t>
      </w:r>
      <w:r>
        <w:t xml:space="preserve">single-shot regime and at the same</w:t>
      </w:r>
      <w:r>
        <w:t xml:space="preserve"> </w:t>
      </w:r>
      <m:oMath>
        <m:r>
          <m:t>n</m:t>
        </m:r>
        <m:r>
          <m:rPr>
            <m:sty m:val="p"/>
          </m:rPr>
          <m:t>=</m:t>
        </m:r>
        <m:r>
          <m:t>40</m:t>
        </m:r>
      </m:oMath>
      <w:r>
        <w:t xml:space="preserve"> </w:t>
      </w:r>
      <w:r>
        <w:t xml:space="preserve">as the main table</w:t>
      </w:r>
      <w:r>
        <w:t xml:space="preserve"> </w:t>
      </w:r>
      <w:r>
        <w:t xml:space="preserve">(</w:t>
      </w:r>
      <w:r>
        <w:rPr>
          <w:rStyle w:val="VerbatimChar"/>
        </w:rPr>
        <w:t xml:space="preserve">blackwell_order_ss_n40</w:t>
      </w:r>
      <w:r>
        <w:t xml:space="preserve">,</w:t>
      </w:r>
      <w:r>
        <w:t xml:space="preserve"> </w:t>
      </w:r>
      <m:oMath>
        <m:r>
          <m:t>400</m:t>
        </m:r>
      </m:oMath>
      <w:r>
        <w:t xml:space="preserve"> </w:t>
      </w:r>
      <w:r>
        <w:t xml:space="preserve">calls). On the hardened</w:t>
      </w:r>
      <w:r>
        <w:t xml:space="preserve"> </w:t>
      </w:r>
      <w:r>
        <w:rPr>
          <w:rStyle w:val="VerbatimChar"/>
        </w:rPr>
        <w:t xml:space="preserve">api_argorder</w:t>
      </w:r>
      <w:r>
        <w:t xml:space="preserve"> </w:t>
      </w:r>
      <w:r>
        <w:t xml:space="preserve">cell the</w:t>
      </w:r>
      <w:r>
        <w:t xml:space="preserve"> </w:t>
      </w:r>
      <w:r>
        <w:t xml:space="preserve">two orderings are indistinguishable:</w:t>
      </w:r>
      <w:r>
        <w:t xml:space="preserve"> </w:t>
      </w:r>
      <m:oMath>
        <m:sSub>
          <m:e>
            <m:r>
              <m:t>W</m:t>
            </m:r>
          </m:e>
          <m:sub>
            <m:r>
              <m:t>1</m:t>
            </m:r>
          </m:sub>
        </m:sSub>
      </m:oMath>
      <w:r>
        <w:t xml:space="preserve"> </w:t>
      </w:r>
      <w:r>
        <w:t xml:space="preserve">scores</w:t>
      </w:r>
      <w:r>
        <w:t xml:space="preserve"> </w:t>
      </w:r>
      <m:oMath>
        <m:r>
          <m:t>98</m:t>
        </m:r>
        <m:r>
          <m:rPr>
            <m:sty m:val="p"/>
          </m:rPr>
          <m:t>%</m:t>
        </m:r>
      </m:oMath>
      <w:r>
        <w:t xml:space="preserve"> </w:t>
      </w:r>
      <w:r>
        <w:t xml:space="preserve">while both</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score</w:t>
      </w:r>
      <w:r>
        <w:t xml:space="preserve"> </w:t>
      </w:r>
      <m:oMath>
        <m:r>
          <m:t>2.5</m:t>
        </m:r>
        <m:r>
          <m:rPr>
            <m:sty m:val="p"/>
          </m:rPr>
          <m:t>%</m:t>
        </m:r>
      </m:oMath>
      <w:r>
        <w:t xml:space="preserve">, each verified harmful at</w:t>
      </w:r>
      <w:r>
        <w:t xml:space="preserve"> </w:t>
      </w:r>
      <m:oMath>
        <m:r>
          <m:rPr>
            <m:sty m:val="p"/>
          </m:rPr>
          <m:t>−</m:t>
        </m:r>
        <m:r>
          <m:t>0.77</m:t>
        </m:r>
      </m:oMath>
      <w:r>
        <w:t xml:space="preserve">. On</w:t>
      </w:r>
      <w:r>
        <w:t xml:space="preserve"> </w:t>
      </w:r>
      <w:r>
        <w:rPr>
          <w:rStyle w:val="VerbatimChar"/>
        </w:rPr>
        <w:t xml:space="preserve">api_post_ok</w:t>
      </w:r>
      <w:r>
        <w:t xml:space="preserve"> </w:t>
      </w:r>
      <w:r>
        <w:t xml:space="preserve">reversal makes matters worse rather than better,</w:t>
      </w:r>
      <w:r>
        <w:t xml:space="preserve"> </w:t>
      </w:r>
      <m:oMath>
        <m:r>
          <m:t>50</m:t>
        </m:r>
        <m:r>
          <m:rPr>
            <m:sty m:val="p"/>
          </m:rPr>
          <m:t>%</m:t>
        </m:r>
        <m:r>
          <m:rPr>
            <m:sty m:val="p"/>
          </m:rPr>
          <m:t>→</m:t>
        </m:r>
        <m:r>
          <m:t>25</m:t>
        </m:r>
        <m:r>
          <m:rPr>
            <m:sty m:val="p"/>
          </m:rPr>
          <m:t>%</m:t>
        </m:r>
      </m:oMath>
      <w:r>
        <w:t xml:space="preserve"> </w:t>
      </w:r>
      <w:r>
        <w:t xml:space="preserve">with</w:t>
      </w:r>
      <w:r>
        <w:t xml:space="preserve"> </w:t>
      </w:r>
      <m:oMath>
        <m:sSub>
          <m:e>
            <m:r>
              <m:t>W</m:t>
            </m:r>
          </m:e>
          <m:sub>
            <m:r>
              <m:t>2</m:t>
            </m:r>
          </m:sub>
        </m:sSub>
      </m:oMath>
      <w:r>
        <w:t xml:space="preserve"> </w:t>
      </w:r>
      <w:r>
        <w:t xml:space="preserve">first and</w:t>
      </w:r>
      <w:r>
        <w:t xml:space="preserve"> </w:t>
      </w:r>
      <m:oMath>
        <m:r>
          <m:t>50</m:t>
        </m:r>
        <m:r>
          <m:rPr>
            <m:sty m:val="p"/>
          </m:rPr>
          <m:t>%</m:t>
        </m:r>
        <m:r>
          <m:rPr>
            <m:sty m:val="p"/>
          </m:rPr>
          <m:t>→</m:t>
        </m:r>
        <m:r>
          <m:t>0</m:t>
        </m:r>
        <m:r>
          <m:rPr>
            <m:sty m:val="p"/>
          </m:rPr>
          <m:t>%</m:t>
        </m:r>
      </m:oMath>
      <w:r>
        <w:t xml:space="preserve"> </w:t>
      </w:r>
      <w:r>
        <w:t xml:space="preserve">with</w:t>
      </w:r>
      <w:r>
        <w:t xml:space="preserve"> </w:t>
      </w:r>
      <m:oMath>
        <m:sSub>
          <m:e>
            <m:r>
              <m:t>W</m:t>
            </m:r>
          </m:e>
          <m:sub>
            <m:r>
              <m:t>1</m:t>
            </m:r>
          </m:sub>
        </m:sSub>
      </m:oMath>
      <w:r>
        <w:t xml:space="preserve"> </w:t>
      </w:r>
      <w:r>
        <w:t xml:space="preserve">first. Moving the added block out of the primacy slot therefore</w:t>
      </w:r>
      <w:r>
        <w:t xml:space="preserve"> </w:t>
      </w:r>
      <w:r>
        <w:t xml:space="preserve">recovers nothing, and on one cell costs more, so the collapse is not a primacy or recency</w:t>
      </w:r>
      <w:r>
        <w:t xml:space="preserve"> </w:t>
      </w:r>
      <w:r>
        <w:t xml:space="preserve">artifact. Two things this does not settle: it is one model, and it bounds the</w:t>
      </w:r>
      <w:r>
        <w:t xml:space="preserve"> </w:t>
      </w:r>
      <w:r>
        <w:rPr>
          <w:i/>
          <w:iCs/>
        </w:rPr>
        <w:t xml:space="preserve">existence</w:t>
      </w:r>
      <w:r>
        <w:t xml:space="preserve"> </w:t>
      </w:r>
      <w:r>
        <w:t xml:space="preserve">of a positional explanation rather than the contribution of position to the size of the harm.</w:t>
      </w:r>
    </w:p>
    <w:bookmarkEnd w:id="89"/>
    <w:bookmarkStart w:id="90"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0"/>
    <w:bookmarkEnd w:id="91"/>
    <w:bookmarkStart w:id="92"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2"/>
    <w:bookmarkEnd w:id="93"/>
    <w:bookmarkStart w:id="99"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the battery-wide dominance control</w:t>
      </w:r>
      <w:r>
        <w:t xml:space="preserve"> </w:t>
      </w:r>
      <w:r>
        <w:t xml:space="preserve">verifying one-directionally there (</w:t>
      </w:r>
      <m:oMath>
        <m:sSub>
          <m:e>
            <m:r>
              <m:t>U</m:t>
            </m:r>
          </m:e>
          <m:sub>
            <m:r>
              <m:rPr>
                <m:scr m:val="script"/>
                <m:sty m:val="p"/>
              </m:rPr>
              <m:t>D</m:t>
            </m:r>
          </m:sub>
        </m:sSub>
        <m:r>
          <m:rPr>
            <m:sty m:val="p"/>
          </m:rPr>
          <m:t>=</m:t>
        </m:r>
        <m:r>
          <m:t>0.113</m:t>
        </m:r>
      </m:oMath>
      <w:r>
        <w:t xml:space="preserve">) and a single-cell re-run at</w:t>
      </w:r>
      <w:r>
        <w:t xml:space="preserve"> </w:t>
      </w:r>
      <m:oMath>
        <m:r>
          <m:t>n</m:t>
        </m:r>
        <m:r>
          <m:rPr>
            <m:sty m:val="p"/>
          </m:rPr>
          <m:t>=</m:t>
        </m:r>
        <m:r>
          <m:t>80</m:t>
        </m:r>
      </m:oMath>
      <w:r>
        <w:t xml:space="preserve"> </w:t>
      </w:r>
      <w:r>
        <w:t xml:space="preserve">giving</w:t>
      </w:r>
      <w:r>
        <w:t xml:space="preserve"> </w:t>
      </w:r>
      <m:oMath>
        <m:sSub>
          <m:e>
            <m:r>
              <m:t>U</m:t>
            </m:r>
          </m:e>
          <m:sub>
            <m:r>
              <m:rPr>
                <m:scr m:val="script"/>
                <m:sty m:val="p"/>
              </m:rPr>
              <m:t>D</m:t>
            </m:r>
          </m:sub>
        </m:sSub>
        <m:r>
          <m:rPr>
            <m:sty m:val="p"/>
          </m:rPr>
          <m:t>=</m:t>
        </m:r>
        <m:r>
          <m:t>0.000</m:t>
        </m:r>
      </m:oMath>
      <w:r>
        <w:t xml:space="preserve">; that pair was measured in the agentic regime, not the single-shot one;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rather than by the filler of equal character length.</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95"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A1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the five distinct single-shot Haiku runs that measure</w:t>
      </w:r>
      <w:r>
        <w:t xml:space="preserve"> </w:t>
      </w:r>
      <w:r>
        <w:t xml:space="preserve">this cell (</w:t>
      </w:r>
      <m:oMath>
        <m:r>
          <m:t>42</m:t>
        </m:r>
      </m:oMath>
      <w:r>
        <w:t xml:space="preserve">–</w:t>
      </w:r>
      <m:oMath>
        <m:r>
          <m:t>58</m:t>
        </m:r>
        <m:r>
          <m:rPr>
            <m:sty m:val="p"/>
          </m:rPr>
          <m:t>%</m:t>
        </m:r>
      </m:oMath>
      <w:r>
        <w:t xml:space="preserve">; a sixth result file,</w:t>
      </w:r>
      <w:r>
        <w:t xml:space="preserve"> </w:t>
      </w:r>
      <w:r>
        <w:rPr>
          <w:rStyle w:val="VerbatimChar"/>
        </w:rPr>
        <w:t xml:space="preserve">blackwell_haiku_singleshot_n40</w:t>
      </w:r>
      <w:r>
        <w:t xml:space="preserve">, is</w:t>
      </w:r>
      <w:r>
        <w:t xml:space="preserve"> </w:t>
      </w:r>
      <w:r>
        <w:t xml:space="preserve">byte-identical to</w:t>
      </w:r>
      <w:r>
        <w:t xml:space="preserve"> </w:t>
      </w:r>
      <w:r>
        <w:rPr>
          <w:rStyle w:val="VerbatimChar"/>
        </w:rPr>
        <w:t xml:space="preserve">blackwell_haiku_ss_n40</w:t>
      </w:r>
      <w:r>
        <w:t xml:space="preserve"> </w:t>
      </w:r>
      <w:r>
        <w:t xml:space="preserve">and is the same run, not a further</w:t>
      </w:r>
      <w:r>
        <w:t xml:space="preserve"> </w:t>
      </w:r>
      <w:r>
        <w:t xml:space="preserve">replicate).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0.26</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94"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94"/>
    <w:bookmarkEnd w:id="95"/>
    <w:bookmarkStart w:id="98"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97"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Sonnet’s refusals are not</w:t>
      </w:r>
      <w:r>
        <w:t xml:space="preserve"> </w:t>
      </w:r>
      <w:r>
        <w:t xml:space="preserve">confined to the superset, and counting them across all of its retained arms locates the trigger</w:t>
      </w:r>
      <w:r>
        <w:t xml:space="preserve"> </w:t>
      </w:r>
      <w:r>
        <w:t xml:space="preserve">elsewhere than in the number of blocks: an arm carrying only the block that is</w:t>
      </w:r>
      <w:r>
        <w:t xml:space="preserve"> </w:t>
      </w:r>
      <w:r>
        <w:rPr>
          <w:i/>
          <w:iCs/>
        </w:rPr>
        <w:t xml:space="preserve">decisive</w:t>
      </w:r>
      <w:r>
        <w:t xml:space="preserve"> </w:t>
      </w:r>
      <w:r>
        <w:t xml:space="preserve">for</w:t>
      </w:r>
      <w:r>
        <w:t xml:space="preserve"> </w:t>
      </w:r>
      <w:r>
        <w:t xml:space="preserve">its task draws</w:t>
      </w:r>
      <w:r>
        <w:t xml:space="preserve"> </w:t>
      </w:r>
      <m:oMath>
        <m:r>
          <m:t>0</m:t>
        </m:r>
        <m:r>
          <m:rPr>
            <m:sty m:val="p"/>
          </m:rPr>
          <m:t>/</m:t>
        </m:r>
        <m:r>
          <m:t>40</m:t>
        </m:r>
      </m:oMath>
      <w:r>
        <w:t xml:space="preserve"> </w:t>
      </w:r>
      <w:r>
        <w:t xml:space="preserve">refusals on</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and the trap and</w:t>
      </w:r>
      <w:r>
        <w:t xml:space="preserve"> </w:t>
      </w:r>
      <m:oMath>
        <m:r>
          <m:t>13</m:t>
        </m:r>
        <m:r>
          <m:rPr>
            <m:sty m:val="p"/>
          </m:rPr>
          <m:t>/</m:t>
        </m:r>
        <m:r>
          <m:t>40</m:t>
        </m:r>
      </m:oMath>
      <w:r>
        <w:t xml:space="preserve"> </w:t>
      </w:r>
      <w:r>
        <w:t xml:space="preserve">on</w:t>
      </w:r>
      <w:r>
        <w:t xml:space="preserve"> </w:t>
      </w:r>
      <w:r>
        <w:rPr>
          <w:rStyle w:val="VerbatimChar"/>
        </w:rPr>
        <w:t xml:space="preserve">enc_amount</w:t>
      </w:r>
      <w:r>
        <w:t xml:space="preserve">, while an arm carrying only a</w:t>
      </w:r>
      <w:r>
        <w:t xml:space="preserve"> </w:t>
      </w:r>
      <w:r>
        <w:rPr>
          <w:i/>
          <w:iCs/>
        </w:rPr>
        <w:t xml:space="preserve">non</w:t>
      </w:r>
      <w:r>
        <w:t xml:space="preserve">-decisive block draws</w:t>
      </w:r>
      <w:r>
        <w:t xml:space="preserve"> </w:t>
      </w:r>
      <m:oMath>
        <m:r>
          <m:t>40</m:t>
        </m:r>
        <m:r>
          <m:rPr>
            <m:sty m:val="p"/>
          </m:rPr>
          <m:t>/</m:t>
        </m:r>
        <m:r>
          <m:t>40</m:t>
        </m:r>
      </m:oMath>
      <w:r>
        <w:t xml:space="preserve">,</w:t>
      </w:r>
      <w:r>
        <w:t xml:space="preserve"> </w:t>
      </w:r>
      <m:oMath>
        <m:r>
          <m:t>39</m:t>
        </m:r>
        <m:r>
          <m:rPr>
            <m:sty m:val="p"/>
          </m:rPr>
          <m:t>/</m:t>
        </m:r>
        <m:r>
          <m:t>40</m:t>
        </m:r>
      </m:oMath>
      <w:r>
        <w:t xml:space="preserve">,</w:t>
      </w:r>
      <w:r>
        <w:t xml:space="preserve"> </w:t>
      </w:r>
      <m:oMath>
        <m:r>
          <m:t>22</m:t>
        </m:r>
        <m:r>
          <m:rPr>
            <m:sty m:val="p"/>
          </m:rPr>
          <m:t>/</m:t>
        </m:r>
        <m:r>
          <m:t>40</m:t>
        </m:r>
      </m:oMath>
      <w:r>
        <w:t xml:space="preserve"> </w:t>
      </w:r>
      <w:r>
        <w:t xml:space="preserve">and</w:t>
      </w:r>
      <w:r>
        <w:t xml:space="preserve"> </w:t>
      </w:r>
      <m:oMath>
        <m:r>
          <m:t>36</m:t>
        </m:r>
        <m:r>
          <m:rPr>
            <m:sty m:val="p"/>
          </m:rPr>
          <m:t>/</m:t>
        </m:r>
        <m:r>
          <m:t>40</m:t>
        </m:r>
      </m:oMath>
      <w:r>
        <w:t xml:space="preserve"> </w:t>
      </w:r>
      <w:r>
        <w:t xml:space="preserve">on the same four tasks. A single private block is therefore</w:t>
      </w:r>
      <w:r>
        <w:t xml:space="preserve"> </w:t>
      </w:r>
      <w:r>
        <w:t xml:space="preserve">enough, when it does not serve the task at hand. On that reading the superset refuses because it</w:t>
      </w:r>
      <w:r>
        <w:t xml:space="preserve"> </w:t>
      </w:r>
      <w:r>
        <w:t xml:space="preserve">always contains a block the task does not need, which is the same mismatch the collapse turns on</w:t>
      </w:r>
      <w:r>
        <w:t xml:space="preserve"> </w:t>
      </w:r>
      <w:r>
        <w:t xml:space="preserve">rather than a separate effect of stacking. We state this as the pattern the retained draws show,</w:t>
      </w:r>
      <w:r>
        <w:t xml:space="preserve"> </w:t>
      </w:r>
      <w:r>
        <w:t xml:space="preserve">not as a mechanism: it rests on one model and four tasks.</w:t>
      </w:r>
      <w:r>
        <w:t xml:space="preserve"> </w:t>
      </w:r>
      <w:r>
        <w:t xml:space="preserve">Theorem 3 is indifferent to it,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96"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96"/>
    <w:bookmarkEnd w:id="97"/>
    <w:bookmarkEnd w:id="98"/>
    <w:bookmarkEnd w:id="99"/>
    <w:bookmarkStart w:id="102"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A1);</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0"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54.4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47.4</w:t>
            </w:r>
          </w:p>
        </w:tc>
        <w:tc>
          <w:tcPr/>
          <w:p>
            <w:pPr>
              <w:pStyle w:val="Compact"/>
              <w:jc w:val="center"/>
            </w:pPr>
            <w:r>
              <w:rPr>
                <w:b/>
                <w:bCs/>
              </w:rPr>
              <w:t xml:space="preserve">93.3</w:t>
            </w:r>
          </w:p>
        </w:tc>
      </w:tr>
    </w:tbl>
    <w:bookmarkEnd w:id="100"/>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of the two scalar policies measured here forfeits an entire cell class, and no single task-independent ranking keeps all four.</w:t>
      </w:r>
    </w:p>
    <w:bookmarkStart w:id="101"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Keeping both is what makes the per-cell maximum reachable; it does not by itself</w:t>
      </w:r>
      <w:r>
        <w:t xml:space="preserve"> </w:t>
      </w:r>
      <w:r>
        <w:t xml:space="preserve">route correctly on a new task, and concatenating the two instead is the worst policy measured</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1"/>
    <w:bookmarkEnd w:id="102"/>
    <w:bookmarkEnd w:id="103"/>
    <w:bookmarkStart w:id="118"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6" w:name="sec:disc-bridge"/>
    <w:p>
      <w:pPr>
        <w:pStyle w:val="Heading2"/>
      </w:pPr>
      <w:r>
        <w:t xml:space="preserve">Scope of the claims</w:t>
      </w:r>
    </w:p>
    <w:p>
      <w:pPr>
        <w:pStyle w:val="FirstParagraph"/>
      </w:pPr>
      <w:bookmarkStart w:id="104" w:name="sec:disc-deficiency"/>
      <w:bookmarkEnd w:id="104"/>
      <w:bookmarkStart w:id="105" w:name="sec:disc-certificate"/>
      <w:bookmarkEnd w:id="105"/>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6"/>
    <w:bookmarkStart w:id="107"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07"/>
    <w:bookmarkStart w:id="108"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and not by an off-topic block of equal character length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08"/>
    <w:bookmarkStart w:id="117"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9"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09"/>
    <w:bookmarkStart w:id="110"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0"/>
    <w:bookmarkStart w:id="111"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1"/>
    <w:bookmarkStart w:id="112"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2"/>
    <w:bookmarkStart w:id="113"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3"/>
    <w:bookmarkStart w:id="114"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on single-shot 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the controls show that on this model</w:t>
      </w:r>
      <w:r>
        <w:t xml:space="preserve"> </w:t>
      </w:r>
      <w:r>
        <w:t xml:space="preserve">the content of the added block and the routing instruction move the outcome, while an off-topic</w:t>
      </w:r>
      <w:r>
        <w:t xml:space="preserve"> </w:t>
      </w:r>
      <w:r>
        <w:t xml:space="preserve">block of the same character length does not. They do not isolate tokenization, processing</w:t>
      </w:r>
      <w:r>
        <w:t xml:space="preserve"> </w:t>
      </w:r>
      <w:r>
        <w:t xml:space="preserve">difficulty, or position, and they do not establish the internal cause. A tokenizer-matched</w:t>
      </w:r>
      <w:r>
        <w:t xml:space="preserve"> </w:t>
      </w:r>
      <w:r>
        <w:t xml:space="preserve">control, an on-topic but verifier-irrelevant control, a matched single-shot order control, and any</w:t>
      </w:r>
      <w:r>
        <w:t xml:space="preserve"> </w:t>
      </w:r>
      <w:r>
        <w:t xml:space="preserve">of these across the roster remain untested.</w:t>
      </w:r>
    </w:p>
    <w:bookmarkEnd w:id="114"/>
    <w:bookmarkStart w:id="115"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C),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Marginal-versus-joint control is discussed in</w:t>
      </w:r>
      <w:r>
        <w:t xml:space="preserve"> </w:t>
      </w:r>
      <w:r>
        <w:t xml:space="preserve">§8.1.</w:t>
      </w:r>
    </w:p>
    <w:bookmarkEnd w:id="115"/>
    <w:bookmarkStart w:id="116"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6"/>
    <w:bookmarkEnd w:id="117"/>
    <w:bookmarkEnd w:id="118"/>
    <w:bookmarkStart w:id="119"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narrow and its scope is stated exactly: one number per source fixed across tasks</w:t>
      </w:r>
      <w:r>
        <w:t xml:space="preserve"> </w:t>
      </w:r>
      <w:r>
        <w:t xml:space="preserve">(Theorem 2), and query-conditioned scores meeting the two hypotheses of</w:t>
      </w:r>
      <w:r>
        <w:t xml:space="preserve"> </w:t>
      </w:r>
      <w:r>
        <w:t xml:space="preserve">Proposition 2. It is not a statement about all context selection, and</w:t>
      </w:r>
      <w:r>
        <w:t xml:space="preserve"> </w:t>
      </w:r>
      <w:r>
        <w:t xml:space="preserve">it implies no lower bound on computational cost: a task-conditioned score, a router over public</w:t>
      </w:r>
      <w:r>
        <w:t xml:space="preserve"> </w:t>
      </w:r>
      <w:r>
        <w:t xml:space="preserve">task metadata, or any number of cheap algorithms lie outside it</w:t>
      </w:r>
      <w:r>
        <w:t xml:space="preserve"> </w:t>
      </w:r>
      <w:r>
        <w:t xml:space="preserve">(Remark 5).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That is a measured contrast between named checkpoints, not a</w:t>
      </w:r>
      <w:r>
        <w:t xml:space="preserve"> </w:t>
      </w:r>
      <w:r>
        <w:t xml:space="preserve">proved separation between complexity classes: what the theory establishes is that a single</w:t>
      </w:r>
      <w:r>
        <w:t xml:space="preserve"> </w:t>
      </w:r>
      <w:r>
        <w:t xml:space="preserve">task-independent number cannot represent a partial order, and what the probe shows is that</w:t>
      </w:r>
      <w:r>
        <w:t xml:space="preserve"> </w:t>
      </w:r>
      <w:r>
        <w:t xml:space="preserve">reading content suffices to measure it on this battery.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9"/>
    <w:bookmarkStart w:id="120"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p>
      <w:pPr>
        <w:pStyle w:val="BodyText"/>
      </w:pPr>
      <w:r>
        <w:t xml:space="preserve">The implementation is traceable in the artifact repository, whose commit history is authored</w:t>
      </w:r>
      <w:r>
        <w:t xml:space="preserve"> </w:t>
      </w:r>
      <w:r>
        <w:t xml:space="preserve">solely by A.B.; the co-authors’ contributions were made in discussion and review. The</w:t>
      </w:r>
      <w:r>
        <w:t xml:space="preserve"> </w:t>
      </w:r>
      <w:r>
        <w:t xml:space="preserve">generative-AI assistance described in the Acknowledgments is a tool and holds no CRediT role.</w:t>
      </w:r>
    </w:p>
    <w:bookmarkEnd w:id="120"/>
    <w:bookmarkStart w:id="121"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1"/>
    <w:bookmarkStart w:id="122"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2"/>
    <w:bookmarkStart w:id="123" w:name="informed-consent-statement"/>
    <w:p>
      <w:pPr>
        <w:pStyle w:val="Heading1"/>
      </w:pPr>
      <w:r>
        <w:t xml:space="preserve">Informed Consent Statement</w:t>
      </w:r>
    </w:p>
    <w:p>
      <w:pPr>
        <w:pStyle w:val="FirstParagraph"/>
      </w:pPr>
      <w:r>
        <w:t xml:space="preserve">Not applicable.</w:t>
      </w:r>
    </w:p>
    <w:bookmarkEnd w:id="123"/>
    <w:bookmarkStart w:id="124"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3">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retention re-measurement of §7.5.2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4"/>
    <w:bookmarkStart w:id="125" w:name="acknowledgments"/>
    <w:p>
      <w:pPr>
        <w:pStyle w:val="Heading1"/>
      </w:pPr>
      <w:r>
        <w:t xml:space="preserve">Acknowledgments</w:t>
      </w:r>
    </w:p>
    <w:p>
      <w:pPr>
        <w:pStyle w:val="FirstParagraph"/>
      </w:pPr>
      <w:r>
        <w:t xml:space="preserve">The authors thank the Department of Information Systems and Networks, Lviv Polytechnic National</w:t>
      </w:r>
      <w:r>
        <w:t xml:space="preserve"> </w:t>
      </w:r>
      <w:r>
        <w:t xml:space="preserve">University, for institutional support. No third party contributed to the design, execution or</w:t>
      </w:r>
      <w:r>
        <w:t xml:space="preserve"> </w:t>
      </w:r>
      <w:r>
        <w:t xml:space="preserve">analysis of the reported measurements beyond the listed authors.</w:t>
      </w:r>
    </w:p>
    <w:p>
      <w:pPr>
        <w:pStyle w:val="BodyText"/>
      </w:pPr>
      <w:r>
        <w:t xml:space="preserve">Anthropic’s Claude models were used for code scaffolding, experimental-plan review,</w:t>
      </w:r>
      <w:r>
        <w:t xml:space="preserve"> </w:t>
      </w:r>
      <w:r>
        <w:t xml:space="preserve">implementation assistance, consistency and artifact audits, manuscript organization, and</w:t>
      </w:r>
      <w:r>
        <w:t xml:space="preserve"> </w:t>
      </w:r>
      <w:r>
        <w:t xml:space="preserve">LaTeX formatting. The authors inspected code changes, executed the experiments, verified</w:t>
      </w:r>
      <w:r>
        <w:t xml:space="preserve"> </w:t>
      </w:r>
      <w:r>
        <w:t xml:space="preserve">outputs against frozen manifests and source files, checked cited sources, and take full</w:t>
      </w:r>
      <w:r>
        <w:t xml:space="preserve"> </w:t>
      </w:r>
      <w:r>
        <w:t xml:space="preserve">responsibility for the study design, results, interpretations, and manuscript.</w:t>
      </w:r>
    </w:p>
    <w:bookmarkEnd w:id="125"/>
    <w:bookmarkStart w:id="126" w:name="X662c2d66dd1eda3268d2087202c966cd73b2601"/>
    <w:p>
      <w:pPr>
        <w:pStyle w:val="Heading1"/>
      </w:pPr>
      <w:r>
        <w:t xml:space="preserve">Use of Generative Artificial Intelligence</w:t>
      </w:r>
    </w:p>
    <w:p>
      <w:pPr>
        <w:pStyle w:val="FirstParagraph"/>
      </w:pPr>
      <w:r>
        <w:t xml:space="preserve">Language models appear in this work in two distinct roles, and we separate them because only one</w:t>
      </w:r>
      <w:r>
        <w:t xml:space="preserve"> </w:t>
      </w:r>
      <w:r>
        <w:t xml:space="preserve">bears on the results.</w:t>
      </w:r>
      <w:r>
        <w:t xml:space="preserve"> </w:t>
      </w:r>
      <w:r>
        <w:rPr>
          <w:i/>
          <w:iCs/>
        </w:rPr>
        <w:t xml:space="preserve">As the object of study:</w:t>
      </w:r>
      <w:r>
        <w:t xml:space="preserve"> </w:t>
      </w:r>
      <w:r>
        <w:t xml:space="preserve">the measured quantities are pass rates of</w:t>
      </w:r>
      <w:r>
        <w:t xml:space="preserve"> </w:t>
      </w:r>
      <w:r>
        <w:t xml:space="preserve">commercial language models, obtained through the interfaces described in</w:t>
      </w:r>
      <w:r>
        <w:t xml:space="preserve"> </w:t>
      </w:r>
      <w:r>
        <w:t xml:space="preserve">§7.3; everything else we report, the confidence bounds, the ranker scores, the</w:t>
      </w:r>
      <w:r>
        <w:t xml:space="preserve"> </w:t>
      </w:r>
      <w:r>
        <w:t xml:space="preserve">token and cost figures, is computed from those runs.</w:t>
      </w:r>
      <w:r>
        <w:t xml:space="preserve"> </w:t>
      </w:r>
      <w:r>
        <w:rPr>
          <w:i/>
          <w:iCs/>
        </w:rPr>
        <w:t xml:space="preserve">As a tool:</w:t>
      </w:r>
      <w:r>
        <w:t xml:space="preserve"> </w:t>
      </w:r>
      <w:r>
        <w:t xml:space="preserve">the assistance described in</w:t>
      </w:r>
      <w:r>
        <w:t xml:space="preserve"> </w:t>
      </w:r>
      <w:r>
        <w:t xml:space="preserve">the Acknowledgments. No result, table or figure was produced by a language model acting as an</w:t>
      </w:r>
      <w:r>
        <w:t xml:space="preserve"> </w:t>
      </w:r>
      <w:r>
        <w:t xml:space="preserve">author or an analyst: every reported quantity is computed by the released scripts from the</w:t>
      </w:r>
      <w:r>
        <w:t xml:space="preserve"> </w:t>
      </w:r>
      <w:r>
        <w:t xml:space="preserve">released records, which</w:t>
      </w:r>
      <w:r>
        <w:t xml:space="preserve"> </w:t>
      </w:r>
      <w:r>
        <w:rPr>
          <w:rStyle w:val="VerbatimChar"/>
        </w:rPr>
        <w:t xml:space="preserve">results/MANIFEST.md</w:t>
      </w:r>
      <w:r>
        <w:t xml:space="preserve"> </w:t>
      </w:r>
      <w:r>
        <w:t xml:space="preserve">pins by SHA-256 and maps to the table or</w:t>
      </w:r>
      <w:r>
        <w:t xml:space="preserve"> </w:t>
      </w:r>
      <w:r>
        <w:t xml:space="preserve">figure that uses it. The Data Availability Statement says which records are aggregate-only and</w:t>
      </w:r>
      <w:r>
        <w:t xml:space="preserve"> </w:t>
      </w:r>
      <w:r>
        <w:t xml:space="preserve">which retain raw completions.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1"/>
    <w:bookmarkStart w:id="132"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2"/>
    <w:bookmarkStart w:id="133"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3"/>
    <w:bookmarkStart w:id="134"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4"/>
    <w:bookmarkStart w:id="135"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5"/>
    <w:bookmarkStart w:id="136"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6" w:name="app:record"/>
    <w:p>
      <w:pPr>
        <w:pStyle w:val="Heading1"/>
      </w:pPr>
      <w:r>
        <w:t xml:space="preserve">Extended experimental record</w:t>
      </w:r>
    </w:p>
    <w:bookmarkStart w:id="145"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margin</w:t>
      </w:r>
      <w:r>
        <w:t xml:space="preserve"> </w:t>
      </w:r>
      <m:oMath>
        <m:r>
          <m:t>τ</m:t>
        </m:r>
        <m:r>
          <m:rPr>
            <m:sty m:val="p"/>
          </m:rPr>
          <m:t>=</m:t>
        </m:r>
        <m:r>
          <m:t>0.30</m:t>
        </m:r>
      </m:oMath>
      <w:r>
        <w:t xml:space="preserve"> </w:t>
      </w:r>
      <w:r>
        <w:t xml:space="preserve">fixed for the whole programme.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1"/>
    <w:bookmarkStart w:id="142"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2"/>
    <w:bookmarkStart w:id="143"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3"/>
    <w:bookmarkStart w:id="144"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45</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44"/>
    <w:bookmarkEnd w:id="145"/>
    <w:bookmarkEnd w:id="146"/>
    <w:bookmarkStart w:id="286"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3">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behind the six-model tables. Two reported runs sit</w:t>
      </w:r>
      <w:r>
        <w:t xml:space="preserve"> </w:t>
      </w:r>
      <w:r>
        <w:t xml:space="preserve">outside it, both on the agentic Claude CLI path (up to six turns per attempt) rather than the</w:t>
      </w:r>
      <w:r>
        <w:t xml:space="preserve"> </w:t>
      </w:r>
      <w:r>
        <w:t xml:space="preserve">single-shot one, and both identifiable from their run logs, which lack the</w:t>
      </w:r>
      <w:r>
        <w:t xml:space="preserve"> </w:t>
      </w:r>
      <w:r>
        <w:rPr>
          <w:rStyle w:val="VerbatimChar"/>
        </w:rPr>
        <w:t xml:space="preserve">[SINGLE-SHOT]</w:t>
      </w:r>
      <w:r>
        <w:t xml:space="preserve"> </w:t>
      </w:r>
      <w:r>
        <w:t xml:space="preserve">marker every single-shot run carries. The first is the order control of</w:t>
      </w:r>
      <w:r>
        <w:t xml:space="preserve"> </w:t>
      </w:r>
      <w:r>
        <w:t xml:space="preserve">§7.4.3, an earlier</w:t>
      </w:r>
      <w:r>
        <w:t xml:space="preserve"> </w:t>
      </w:r>
      <m:oMath>
        <m:r>
          <m:t>n</m:t>
        </m:r>
        <m:r>
          <m:rPr>
            <m:sty m:val="p"/>
          </m:rPr>
          <m:t>=</m:t>
        </m:r>
        <m:r>
          <m:t>80</m:t>
        </m:r>
      </m:oMath>
      <w:r>
        <w:t xml:space="preserve"> </w:t>
      </w:r>
      <w:r>
        <w:t xml:space="preserve">Haiku run, reported as an auxiliary control and</w:t>
      </w:r>
      <w:r>
        <w:t xml:space="preserve"> </w:t>
      </w:r>
      <w:r>
        <w:t xml:space="preserve">entering no table of the six-model record. The second is the entire second source pair</w:t>
      </w:r>
      <w:r>
        <w:t xml:space="preserve"> </w:t>
      </w:r>
      <w:r>
        <w:t xml:space="preserve">(§7.5), measured agentically at</w:t>
      </w:r>
      <w:r>
        <w:t xml:space="preserve"> </w:t>
      </w:r>
      <m:oMath>
        <m:r>
          <m:t>n</m:t>
        </m:r>
        <m:r>
          <m:rPr>
            <m:sty m:val="p"/>
          </m:rPr>
          <m:t>=</m:t>
        </m:r>
        <m:r>
          <m:t>40</m:t>
        </m:r>
      </m:oMath>
      <w:r>
        <w:t xml:space="preserve"> </w:t>
      </w:r>
      <w:r>
        <w:t xml:space="preserve">and</w:t>
      </w:r>
      <w:r>
        <w:t xml:space="preserve"> </w:t>
      </w:r>
      <m:oMath>
        <m:r>
          <m:t>n</m:t>
        </m:r>
        <m:r>
          <m:rPr>
            <m:sty m:val="p"/>
          </m:rPr>
          <m:t>=</m:t>
        </m:r>
        <m:r>
          <m:t>80</m:t>
        </m:r>
      </m:oMath>
      <w:r>
        <w:t xml:space="preserve">. Its role is generality, so</w:t>
      </w:r>
      <w:r>
        <w:t xml:space="preserve"> </w:t>
      </w:r>
      <w:r>
        <w:t xml:space="preserve">the regime difference is worth stating plainly: what that pair shows is that incomparability and</w:t>
      </w:r>
      <w:r>
        <w:t xml:space="preserve"> </w:t>
      </w:r>
      <w:r>
        <w:t xml:space="preserve">the superset collapse reappear in another domain</w:t>
      </w:r>
      <w:r>
        <w:t xml:space="preserve"> </w:t>
      </w:r>
      <w:r>
        <w:rPr>
          <w:i/>
          <w:iCs/>
        </w:rPr>
        <w:t xml:space="preserve">under the agentic harness</w:t>
      </w:r>
      <w:r>
        <w:t xml:space="preserve">, not that they</w:t>
      </w:r>
      <w:r>
        <w:t xml:space="preserve"> </w:t>
      </w:r>
      <w:r>
        <w:t xml:space="preserve">reappear under the single-shot one. The single-shot evidence for both phenomena is the six-model</w:t>
      </w:r>
      <w:r>
        <w:t xml:space="preserve"> </w:t>
      </w:r>
      <w:r>
        <w:t xml:space="preserve">record on the first pair.</w:t>
      </w:r>
    </w:p>
    <w:p>
      <w:pPr>
        <w:pStyle w:val="BodyText"/>
      </w:pPr>
      <w:r>
        <w:t xml:space="preserve">Four arm-only re-measurements were originally produced by ad-hoc scripts that were not kept, so</w:t>
      </w:r>
      <w:r>
        <w:t xml:space="preserve"> </w:t>
      </w:r>
      <w:r>
        <w:t xml:space="preserve">their regime could be asserted but not recovered from a run log. All four have since been</w:t>
      </w:r>
      <w:r>
        <w:t xml:space="preserve"> </w:t>
      </w:r>
      <w:r>
        <w:t xml:space="preserve">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w:t>
      </w:r>
      <w:r>
        <w:t xml:space="preserve"> </w:t>
      </w:r>
      <w:r>
        <w:t xml:space="preserve">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This manuscript reports the</w:t>
      </w:r>
      <w:r>
        <w:t xml:space="preserve"> </w:t>
      </w:r>
      <w:r>
        <w:t xml:space="preserve">re-measurements throughout, so every cited run now has a log naming its regime;</w:t>
      </w:r>
      <w:r>
        <w:t xml:space="preserve"> </w:t>
      </w:r>
      <w:r>
        <w:rPr>
          <w:rStyle w:val="VerbatimChar"/>
        </w:rPr>
        <w:t xml:space="preserve">harness/diag/check_regimes.py</w:t>
      </w:r>
      <w:r>
        <w:t xml:space="preserve"> </w:t>
      </w:r>
      <w:r>
        <w:t xml:space="preserve">lists them with the evidence for each. The between-run</w:t>
      </w:r>
      <w:r>
        <w:t xml:space="preserve"> </w:t>
      </w:r>
      <w:r>
        <w:t xml:space="preserve">movement on the Opus arm is itself a data point for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3">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blackwell_opus_ss_W1plus_v2</w:t>
      </w:r>
      <w:r>
        <w:t xml:space="preserve"> </w:t>
      </w:r>
      <w:r>
        <w:t xml:space="preserve">and the clean single-cell re-measurements</w:t>
      </w:r>
      <w:r>
        <w:t xml:space="preserve"> </w:t>
      </w:r>
      <w:r>
        <w:rPr>
          <w:rStyle w:val="VerbatimChar"/>
        </w:rPr>
        <w:t xml:space="preserve">blackwell_opus_ss_W2_trap_v2</w:t>
      </w:r>
      <w:r>
        <w:t xml:space="preserve"> </w:t>
      </w:r>
      <w:r>
        <w:t xml:space="preserve">and</w:t>
      </w:r>
      <w:r>
        <w:t xml:space="preserve"> </w:t>
      </w:r>
      <w:r>
        <w:rPr>
          <w:rStyle w:val="VerbatimChar"/>
        </w:rPr>
        <w:t xml:space="preserve">blackwell_haiku_ss_W1_enc_v2</w:t>
      </w:r>
      <w:r>
        <w:t xml:space="preserve">, all produced by</w:t>
      </w:r>
      <w:r>
        <w:t xml:space="preserve"> </w:t>
      </w:r>
      <w:r>
        <w:rPr>
          <w:rStyle w:val="VerbatimChar"/>
        </w:rPr>
        <w:t xml:space="preserve">harness/diag/rerun_arm.py</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blackwell_order_ss_n40</w:t>
      </w:r>
      <w:r>
        <w:t xml:space="preserve"> </w:t>
      </w:r>
      <w:r>
        <w:t xml:space="preserve">(order control, reversed concatenation, single-shot,</w:t>
      </w:r>
      <w:r>
        <w:t xml:space="preserve"> </w:t>
      </w:r>
      <m:oMath>
        <m:r>
          <m:t>400</m:t>
        </m:r>
      </m:oMath>
      <w:r>
        <w:t xml:space="preserve"> </w:t>
      </w:r>
      <w:r>
        <w:t xml:space="preserve">calls),</w:t>
      </w:r>
      <w:r>
        <w:t xml:space="preserve"> </w:t>
      </w:r>
      <w:r>
        <w:rPr>
          <w:rStyle w:val="VerbatimChar"/>
        </w:rPr>
        <w:t xml:space="preserve">blackwell_pair2_n40</w:t>
      </w:r>
      <w:r>
        <w:t xml:space="preserve"> </w:t>
      </w:r>
      <w:r>
        <w:t xml:space="preserve">(second source pair; the reported</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all come from this file) and</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blackwell_xml_arm_v2</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85"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84"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5">
        <w:r>
          <w:rPr>
            <w:rStyle w:val="Hyperlink"/>
          </w:rPr>
          <w:t xml:space="preserve">https://arxiv.org/abs/2412.17031</w:t>
        </w:r>
      </w:hyperlink>
      <w:r>
        <w:t xml:space="preserve">.</w:t>
      </w:r>
    </w:p>
    <w:bookmarkEnd w:id="206"/>
    <w:bookmarkStart w:id="208"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7">
        <w:r>
          <w:rPr>
            <w:rStyle w:val="Hyperlink"/>
          </w:rPr>
          <w:t xml:space="preserve">https://aclanthology.org/2025.fever-1.2/</w:t>
        </w:r>
      </w:hyperlink>
      <w:r>
        <w:t xml:space="preserve">.</w:t>
      </w:r>
    </w:p>
    <w:bookmarkEnd w:id="208"/>
    <w:bookmarkStart w:id="210"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09">
        <w:r>
          <w:rPr>
            <w:rStyle w:val="Hyperlink"/>
          </w:rPr>
          <w:t xml:space="preserve">https://arxiv.org/abs/2304.04576</w:t>
        </w:r>
      </w:hyperlink>
      <w:r>
        <w:t xml:space="preserve">.</w:t>
      </w:r>
    </w:p>
    <w:bookmarkEnd w:id="210"/>
    <w:bookmarkStart w:id="212"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1">
        <w:r>
          <w:rPr>
            <w:rStyle w:val="Hyperlink"/>
          </w:rPr>
          <w:t xml:space="preserve">https://www.trychroma.com/research/context-rot</w:t>
        </w:r>
      </w:hyperlink>
      <w:r>
        <w:t xml:space="preserve">.</w:t>
      </w:r>
    </w:p>
    <w:bookmarkEnd w:id="212"/>
    <w:bookmarkStart w:id="214"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3">
        <w:r>
          <w:rPr>
            <w:rStyle w:val="Hyperlink"/>
          </w:rPr>
          <w:t xml:space="preserve">https://arxiv.org/abs/2510.00079</w:t>
        </w:r>
      </w:hyperlink>
      <w:r>
        <w:t xml:space="preserve">.</w:t>
      </w:r>
    </w:p>
    <w:bookmarkEnd w:id="214"/>
    <w:bookmarkStart w:id="216"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5">
        <w:r>
          <w:rPr>
            <w:rStyle w:val="Hyperlink"/>
          </w:rPr>
          <w:t xml:space="preserve">https://arxiv.org/abs/2512.06464</w:t>
        </w:r>
      </w:hyperlink>
      <w:r>
        <w:t xml:space="preserve">.</w:t>
      </w:r>
    </w:p>
    <w:bookmarkEnd w:id="216"/>
    <w:bookmarkStart w:id="218"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7">
        <w:r>
          <w:rPr>
            <w:rStyle w:val="Hyperlink"/>
          </w:rPr>
          <w:t xml:space="preserve">https://arxiv.org/abs/2601.05027</w:t>
        </w:r>
      </w:hyperlink>
      <w:r>
        <w:t xml:space="preserve">.</w:t>
      </w:r>
    </w:p>
    <w:bookmarkEnd w:id="218"/>
    <w:bookmarkStart w:id="220"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19">
        <w:r>
          <w:rPr>
            <w:rStyle w:val="Hyperlink"/>
          </w:rPr>
          <w:t xml:space="preserve">https://arxiv.org/abs/2410.05983</w:t>
        </w:r>
      </w:hyperlink>
      <w:r>
        <w:t xml:space="preserve">.</w:t>
      </w:r>
    </w:p>
    <w:bookmarkEnd w:id="220"/>
    <w:bookmarkStart w:id="222"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1">
        <w:r>
          <w:rPr>
            <w:rStyle w:val="Hyperlink"/>
          </w:rPr>
          <w:t xml:space="preserve">https://arxiv.org/abs/2411.06037</w:t>
        </w:r>
      </w:hyperlink>
      <w:r>
        <w:t xml:space="preserve">.</w:t>
      </w:r>
    </w:p>
    <w:bookmarkEnd w:id="222"/>
    <w:bookmarkStart w:id="224"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3">
        <w:r>
          <w:rPr>
            <w:rStyle w:val="Hyperlink"/>
          </w:rPr>
          <w:t xml:space="preserve">https://doi.org/10.1016/j.econlet.2024.112146</w:t>
        </w:r>
      </w:hyperlink>
      <w:r>
        <w:t xml:space="preserve">.</w:t>
      </w:r>
    </w:p>
    <w:bookmarkEnd w:id="224"/>
    <w:bookmarkStart w:id="226"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5">
        <w:r>
          <w:rPr>
            <w:rStyle w:val="Hyperlink"/>
          </w:rPr>
          <w:t xml:space="preserve">https://doi.org/10.1214/aoms/1177700372</w:t>
        </w:r>
      </w:hyperlink>
      <w:r>
        <w:t xml:space="preserve">.</w:t>
      </w:r>
    </w:p>
    <w:bookmarkEnd w:id="226"/>
    <w:bookmarkStart w:id="228"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7">
        <w:r>
          <w:rPr>
            <w:rStyle w:val="Hyperlink"/>
          </w:rPr>
          <w:t xml:space="preserve">https://doi.org/10.1007/978-1-4612-4946-7</w:t>
        </w:r>
      </w:hyperlink>
      <w:r>
        <w:t xml:space="preserve">.</w:t>
      </w:r>
    </w:p>
    <w:bookmarkEnd w:id="228"/>
    <w:bookmarkStart w:id="230"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29">
        <w:r>
          <w:rPr>
            <w:rStyle w:val="Hyperlink"/>
          </w:rPr>
          <w:t xml:space="preserve">https://arxiv.org/abs/2504.07104</w:t>
        </w:r>
      </w:hyperlink>
      <w:r>
        <w:t xml:space="preserve">.</w:t>
      </w:r>
    </w:p>
    <w:bookmarkEnd w:id="230"/>
    <w:bookmarkStart w:id="232"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1">
        <w:r>
          <w:rPr>
            <w:rStyle w:val="Hyperlink"/>
          </w:rPr>
          <w:t xml:space="preserve">https://arxiv.org/abs/2503.04388</w:t>
        </w:r>
      </w:hyperlink>
      <w:r>
        <w:t xml:space="preserve">.</w:t>
      </w:r>
    </w:p>
    <w:bookmarkEnd w:id="232"/>
    <w:bookmarkStart w:id="234"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3">
        <w:r>
          <w:rPr>
            <w:rStyle w:val="Hyperlink"/>
          </w:rPr>
          <w:t xml:space="preserve">https://arxiv.org/abs/2605.05716</w:t>
        </w:r>
      </w:hyperlink>
      <w:r>
        <w:t xml:space="preserve">.</w:t>
      </w:r>
    </w:p>
    <w:bookmarkEnd w:id="234"/>
    <w:bookmarkStart w:id="236"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5">
        <w:r>
          <w:rPr>
            <w:rStyle w:val="Hyperlink"/>
          </w:rPr>
          <w:t xml:space="preserve">https://arxiv.org/abs/2307.03172</w:t>
        </w:r>
      </w:hyperlink>
      <w:r>
        <w:t xml:space="preserve">.</w:t>
      </w:r>
    </w:p>
    <w:bookmarkEnd w:id="236"/>
    <w:bookmarkStart w:id="238"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7">
        <w:r>
          <w:rPr>
            <w:rStyle w:val="Hyperlink"/>
          </w:rPr>
          <w:t xml:space="preserve">https://arxiv.org/abs/2411.00640</w:t>
        </w:r>
      </w:hyperlink>
      <w:r>
        <w:t xml:space="preserve">.</w:t>
      </w:r>
    </w:p>
    <w:bookmarkEnd w:id="238"/>
    <w:bookmarkStart w:id="240"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39">
        <w:r>
          <w:rPr>
            <w:rStyle w:val="Hyperlink"/>
          </w:rPr>
          <w:t xml:space="preserve">https://doi.org/10.1007/978-3-032-19099-4_23</w:t>
        </w:r>
      </w:hyperlink>
      <w:r>
        <w:t xml:space="preserve">.</w:t>
      </w:r>
    </w:p>
    <w:bookmarkEnd w:id="240"/>
    <w:bookmarkStart w:id="242"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1">
        <w:r>
          <w:rPr>
            <w:rStyle w:val="Hyperlink"/>
          </w:rPr>
          <w:t xml:space="preserve">https://arxiv.org/abs/2604.06621</w:t>
        </w:r>
      </w:hyperlink>
      <w:r>
        <w:t xml:space="preserve">.</w:t>
      </w:r>
    </w:p>
    <w:bookmarkEnd w:id="242"/>
    <w:bookmarkStart w:id="244"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3">
        <w:r>
          <w:rPr>
            <w:rStyle w:val="Hyperlink"/>
          </w:rPr>
          <w:t xml:space="preserve">https://arxiv.org/abs/2605.03534</w:t>
        </w:r>
      </w:hyperlink>
      <w:r>
        <w:t xml:space="preserve">.</w:t>
      </w:r>
    </w:p>
    <w:bookmarkEnd w:id="244"/>
    <w:bookmarkStart w:id="246"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5">
        <w:r>
          <w:rPr>
            <w:rStyle w:val="Hyperlink"/>
          </w:rPr>
          <w:t xml:space="preserve">https://doi.org/10.1108/eb026647</w:t>
        </w:r>
      </w:hyperlink>
      <w:r>
        <w:t xml:space="preserve">.</w:t>
      </w:r>
    </w:p>
    <w:bookmarkEnd w:id="246"/>
    <w:bookmarkStart w:id="248"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7">
        <w:r>
          <w:rPr>
            <w:rStyle w:val="Hyperlink"/>
          </w:rPr>
          <w:t xml:space="preserve">https://arxiv.org/abs/1402.4884</w:t>
        </w:r>
      </w:hyperlink>
      <w:r>
        <w:t xml:space="preserve">.</w:t>
      </w:r>
    </w:p>
    <w:bookmarkEnd w:id="248"/>
    <w:bookmarkStart w:id="250"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49">
        <w:r>
          <w:rPr>
            <w:rStyle w:val="Hyperlink"/>
          </w:rPr>
          <w:t xml:space="preserve">https://arxiv.org/abs/2302.00093</w:t>
        </w:r>
      </w:hyperlink>
      <w:r>
        <w:t xml:space="preserve">.</w:t>
      </w:r>
    </w:p>
    <w:bookmarkEnd w:id="250"/>
    <w:bookmarkStart w:id="252"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1">
        <w:r>
          <w:rPr>
            <w:rStyle w:val="Hyperlink"/>
          </w:rPr>
          <w:t xml:space="preserve">https://arxiv.org/abs/2304.09542</w:t>
        </w:r>
      </w:hyperlink>
      <w:r>
        <w:t xml:space="preserve">.</w:t>
      </w:r>
    </w:p>
    <w:bookmarkEnd w:id="252"/>
    <w:bookmarkStart w:id="254"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3">
        <w:r>
          <w:rPr>
            <w:rStyle w:val="Hyperlink"/>
          </w:rPr>
          <w:t xml:space="preserve">https://doi.org/10.1017/CBO9780511666353</w:t>
        </w:r>
      </w:hyperlink>
      <w:r>
        <w:t xml:space="preserve">.</w:t>
      </w:r>
    </w:p>
    <w:bookmarkEnd w:id="254"/>
    <w:bookmarkStart w:id="256"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5">
        <w:r>
          <w:rPr>
            <w:rStyle w:val="Hyperlink"/>
          </w:rPr>
          <w:t xml:space="preserve">https://arxiv.org/abs/2402.11750</w:t>
        </w:r>
      </w:hyperlink>
      <w:r>
        <w:t xml:space="preserve">.</w:t>
      </w:r>
    </w:p>
    <w:bookmarkEnd w:id="256"/>
    <w:bookmarkStart w:id="258"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57">
        <w:r>
          <w:rPr>
            <w:rStyle w:val="Hyperlink"/>
          </w:rPr>
          <w:t xml:space="preserve">https://arxiv.org/abs/2602.08294</w:t>
        </w:r>
      </w:hyperlink>
      <w:r>
        <w:t xml:space="preserve">.</w:t>
      </w:r>
    </w:p>
    <w:bookmarkEnd w:id="258"/>
    <w:bookmarkStart w:id="260"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59">
        <w:r>
          <w:rPr>
            <w:rStyle w:val="Hyperlink"/>
          </w:rPr>
          <w:t xml:space="preserve">https://doi.org/10.1145/1571941.1571963</w:t>
        </w:r>
      </w:hyperlink>
      <w:r>
        <w:t xml:space="preserve">.</w:t>
      </w:r>
    </w:p>
    <w:bookmarkEnd w:id="260"/>
    <w:bookmarkStart w:id="262"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1">
        <w:r>
          <w:rPr>
            <w:rStyle w:val="Hyperlink"/>
          </w:rPr>
          <w:t xml:space="preserve">https://arxiv.org/abs/2410.07523</w:t>
        </w:r>
      </w:hyperlink>
      <w:r>
        <w:t xml:space="preserve">.</w:t>
      </w:r>
    </w:p>
    <w:bookmarkEnd w:id="262"/>
    <w:bookmarkStart w:id="264"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3">
        <w:r>
          <w:rPr>
            <w:rStyle w:val="Hyperlink"/>
          </w:rPr>
          <w:t xml:space="preserve">https://arxiv.org/abs/2403.08319</w:t>
        </w:r>
      </w:hyperlink>
      <w:r>
        <w:t xml:space="preserve">.</w:t>
      </w:r>
    </w:p>
    <w:bookmarkEnd w:id="264"/>
    <w:bookmarkStart w:id="266"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5">
        <w:r>
          <w:rPr>
            <w:rStyle w:val="Hyperlink"/>
          </w:rPr>
          <w:t xml:space="preserve">https://arxiv.org/abs/2302.05698</w:t>
        </w:r>
      </w:hyperlink>
      <w:r>
        <w:t xml:space="preserve">.</w:t>
      </w:r>
    </w:p>
    <w:bookmarkEnd w:id="266"/>
    <w:bookmarkStart w:id="268"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67">
        <w:r>
          <w:rPr>
            <w:rStyle w:val="Hyperlink"/>
          </w:rPr>
          <w:t xml:space="preserve">https://arxiv.org/abs/2407.02485</w:t>
        </w:r>
      </w:hyperlink>
      <w:r>
        <w:t xml:space="preserve">.</w:t>
      </w:r>
    </w:p>
    <w:bookmarkEnd w:id="268"/>
    <w:bookmarkStart w:id="270"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69">
        <w:r>
          <w:rPr>
            <w:rStyle w:val="Hyperlink"/>
          </w:rPr>
          <w:t xml:space="preserve">https://arxiv.org/abs/2504.15630</w:t>
        </w:r>
      </w:hyperlink>
      <w:r>
        <w:t xml:space="preserve">.</w:t>
      </w:r>
    </w:p>
    <w:bookmarkEnd w:id="270"/>
    <w:bookmarkStart w:id="272"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1">
        <w:r>
          <w:rPr>
            <w:rStyle w:val="Hyperlink"/>
          </w:rPr>
          <w:t xml:space="preserve">https://arxiv.org/abs/2510.11358</w:t>
        </w:r>
      </w:hyperlink>
      <w:r>
        <w:t xml:space="preserve">.</w:t>
      </w:r>
    </w:p>
    <w:bookmarkEnd w:id="272"/>
    <w:bookmarkStart w:id="274"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3">
        <w:r>
          <w:rPr>
            <w:rStyle w:val="Hyperlink"/>
          </w:rPr>
          <w:t xml:space="preserve">https://arxiv.org/abs/2604.08920</w:t>
        </w:r>
      </w:hyperlink>
      <w:r>
        <w:t xml:space="preserve">.</w:t>
      </w:r>
    </w:p>
    <w:bookmarkEnd w:id="274"/>
    <w:bookmarkStart w:id="276"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5">
        <w:r>
          <w:rPr>
            <w:rStyle w:val="Hyperlink"/>
          </w:rPr>
          <w:t xml:space="preserve">https://arxiv.org/abs/2605.06028</w:t>
        </w:r>
      </w:hyperlink>
      <w:r>
        <w:t xml:space="preserve">.</w:t>
      </w:r>
    </w:p>
    <w:bookmarkEnd w:id="276"/>
    <w:bookmarkStart w:id="277"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77"/>
    <w:bookmarkStart w:id="279"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78">
        <w:r>
          <w:rPr>
            <w:rStyle w:val="Hyperlink"/>
          </w:rPr>
          <w:t xml:space="preserve">https://arxiv.org/abs/2405.18253</w:t>
        </w:r>
      </w:hyperlink>
      <w:r>
        <w:t xml:space="preserve">.</w:t>
      </w:r>
    </w:p>
    <w:bookmarkEnd w:id="279"/>
    <w:bookmarkStart w:id="281"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0">
        <w:r>
          <w:rPr>
            <w:rStyle w:val="Hyperlink"/>
          </w:rPr>
          <w:t xml:space="preserve">https://doi.org/10.1145/3802111</w:t>
        </w:r>
      </w:hyperlink>
      <w:r>
        <w:t xml:space="preserve">.</w:t>
      </w:r>
    </w:p>
    <w:bookmarkEnd w:id="281"/>
    <w:bookmarkStart w:id="283"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2">
        <w:r>
          <w:rPr>
            <w:rStyle w:val="Hyperlink"/>
          </w:rPr>
          <w:t xml:space="preserve">https://doi.org/10.1007/978-3-642-12275-0_32</w:t>
        </w:r>
      </w:hyperlink>
      <w:r>
        <w:t xml:space="preserve">.</w:t>
      </w:r>
    </w:p>
    <w:bookmarkEnd w:id="283"/>
    <w:bookmarkEnd w:id="284"/>
    <w:bookmarkEnd w:id="285"/>
    <w:bookmarkEnd w:id="2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7"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47" Target="https://arxiv.org/abs/1402.4884" TargetMode="External" /><Relationship Type="http://schemas.openxmlformats.org/officeDocument/2006/relationships/hyperlink" Id="rId249" Target="https://arxiv.org/abs/2302.00093" TargetMode="External" /><Relationship Type="http://schemas.openxmlformats.org/officeDocument/2006/relationships/hyperlink" Id="rId265" Target="https://arxiv.org/abs/2302.05698" TargetMode="External" /><Relationship Type="http://schemas.openxmlformats.org/officeDocument/2006/relationships/hyperlink" Id="rId209" Target="https://arxiv.org/abs/2304.04576" TargetMode="External" /><Relationship Type="http://schemas.openxmlformats.org/officeDocument/2006/relationships/hyperlink" Id="rId251" Target="https://arxiv.org/abs/2304.09542" TargetMode="External" /><Relationship Type="http://schemas.openxmlformats.org/officeDocument/2006/relationships/hyperlink" Id="rId235"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55" Target="https://arxiv.org/abs/2402.11750" TargetMode="External" /><Relationship Type="http://schemas.openxmlformats.org/officeDocument/2006/relationships/hyperlink" Id="rId263" Target="https://arxiv.org/abs/2403.08319" TargetMode="External" /><Relationship Type="http://schemas.openxmlformats.org/officeDocument/2006/relationships/hyperlink" Id="rId278" Target="https://arxiv.org/abs/2405.18253" TargetMode="External" /><Relationship Type="http://schemas.openxmlformats.org/officeDocument/2006/relationships/hyperlink" Id="rId267" Target="https://arxiv.org/abs/2407.02485" TargetMode="External" /><Relationship Type="http://schemas.openxmlformats.org/officeDocument/2006/relationships/hyperlink" Id="rId219" Target="https://arxiv.org/abs/2410.05983" TargetMode="External" /><Relationship Type="http://schemas.openxmlformats.org/officeDocument/2006/relationships/hyperlink" Id="rId261"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37"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1" Target="https://arxiv.org/abs/2411.06037" TargetMode="External" /><Relationship Type="http://schemas.openxmlformats.org/officeDocument/2006/relationships/hyperlink" Id="rId205"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1"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29" Target="https://arxiv.org/abs/2504.07104" TargetMode="External" /><Relationship Type="http://schemas.openxmlformats.org/officeDocument/2006/relationships/hyperlink" Id="rId269"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3"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1"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5"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7"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57" Target="https://arxiv.org/abs/2602.08294" TargetMode="External" /><Relationship Type="http://schemas.openxmlformats.org/officeDocument/2006/relationships/hyperlink" Id="rId241" Target="https://arxiv.org/abs/2604.06621" TargetMode="External" /><Relationship Type="http://schemas.openxmlformats.org/officeDocument/2006/relationships/hyperlink" Id="rId273" Target="https://arxiv.org/abs/2604.08920" TargetMode="External" /><Relationship Type="http://schemas.openxmlformats.org/officeDocument/2006/relationships/hyperlink" Id="rId243" Target="https://arxiv.org/abs/2605.03534" TargetMode="External" /><Relationship Type="http://schemas.openxmlformats.org/officeDocument/2006/relationships/hyperlink" Id="rId233" Target="https://arxiv.org/abs/2605.05716" TargetMode="External" /><Relationship Type="http://schemas.openxmlformats.org/officeDocument/2006/relationships/hyperlink" Id="rId275"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27" Target="https://doi.org/10.1007/978-1-4612-4946-7" TargetMode="External" /><Relationship Type="http://schemas.openxmlformats.org/officeDocument/2006/relationships/hyperlink" Id="rId239" Target="https://doi.org/10.1007/978-3-032-19099-4_23" TargetMode="External" /><Relationship Type="http://schemas.openxmlformats.org/officeDocument/2006/relationships/hyperlink" Id="rId282"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3" Target="https://doi.org/10.1016/j.econlet.2024.112146" TargetMode="External" /><Relationship Type="http://schemas.openxmlformats.org/officeDocument/2006/relationships/hyperlink" Id="rId253"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5"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59"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80" Target="https://doi.org/10.1145/3802111" TargetMode="External" /><Relationship Type="http://schemas.openxmlformats.org/officeDocument/2006/relationships/hyperlink" Id="rId225"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3" Target="https://github.com/abilous-ti/blackwell-llm-context" TargetMode="External" /><Relationship Type="http://schemas.openxmlformats.org/officeDocument/2006/relationships/hyperlink" Id="rId211"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2026-09-09T09:19:36Z</dcterms:created>
  <dcterms:modified xsi:type="dcterms:W3CDTF">2026-09-09T09:19:36Z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on one model, a length-matched padding control and a reversed-order control leave the collapse unexplained by either.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