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2F857E" w14:textId="77777777" w:rsidR="009E2EE7" w:rsidRDefault="009E2EE7" w:rsidP="009E2EE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0B4CF6" wp14:editId="4F946EB4">
            <wp:extent cx="4791075" cy="3190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EC04" w14:textId="77777777" w:rsidR="009E2EE7" w:rsidRDefault="009E2EE7" w:rsidP="009E2EE7">
      <w:pPr>
        <w:jc w:val="center"/>
        <w:rPr>
          <w:lang w:val="en-US"/>
        </w:rPr>
      </w:pPr>
      <w:r w:rsidRPr="007F643F">
        <w:rPr>
          <w:b/>
          <w:bCs/>
          <w:lang w:val="en-US"/>
        </w:rPr>
        <w:t>Fig. 0.</w:t>
      </w:r>
      <w:r>
        <w:rPr>
          <w:lang w:val="en-US"/>
        </w:rPr>
        <w:t xml:space="preserve"> </w:t>
      </w:r>
      <w:r w:rsidRPr="007F643F">
        <w:rPr>
          <w:b/>
          <w:bCs/>
          <w:lang w:val="en-US"/>
        </w:rPr>
        <w:t>Here we see the Figure 4. from paper [21] where clearly higher deviation is observed for sum of nucleotides of SNPs plus DIPs (blue) compared to sum of bases for the SNPs (magenta).</w:t>
      </w:r>
    </w:p>
    <w:p w14:paraId="1ABBA181" w14:textId="77777777" w:rsidR="009E2EE7" w:rsidRDefault="009E2EE7" w:rsidP="009E2EE7">
      <w:pPr>
        <w:spacing w:after="0" w:line="240" w:lineRule="auto"/>
        <w:rPr>
          <w:rFonts w:ascii="Calibri" w:eastAsia="Times New Roman" w:hAnsi="Calibri" w:cs="Calibri"/>
          <w:color w:val="000000"/>
          <w:lang w:val="en-US" w:eastAsia="fi-FI"/>
        </w:rPr>
      </w:pPr>
    </w:p>
    <w:p w14:paraId="1358CB90" w14:textId="1A5A715C" w:rsidR="009E2EE7" w:rsidRDefault="009E2EE7" w:rsidP="009E2EE7">
      <w:pPr>
        <w:spacing w:after="0" w:line="240" w:lineRule="auto"/>
        <w:rPr>
          <w:rFonts w:ascii="Calibri" w:eastAsia="Times New Roman" w:hAnsi="Calibri" w:cs="Calibri"/>
          <w:color w:val="000000"/>
          <w:lang w:val="en-US" w:eastAsia="fi-FI"/>
        </w:rPr>
      </w:pPr>
      <w:r w:rsidRPr="000207EA">
        <w:rPr>
          <w:rFonts w:ascii="Calibri" w:eastAsia="Times New Roman" w:hAnsi="Calibri" w:cs="Calibri"/>
          <w:noProof/>
          <w:color w:val="000000"/>
          <w:lang w:eastAsia="fi-FI"/>
        </w:rPr>
        <w:drawing>
          <wp:inline distT="0" distB="0" distL="0" distR="0" wp14:anchorId="3F85F327" wp14:editId="10CDED65">
            <wp:extent cx="6120130" cy="4695825"/>
            <wp:effectExtent l="19050" t="19050" r="13970" b="28575"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F330A6E2-ACF5-42C4-8A96-719256E6437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F330A6E2-ACF5-42C4-8A96-719256E6437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5825"/>
                    </a:xfrm>
                    <a:prstGeom prst="roundRect">
                      <a:avLst>
                        <a:gd name="adj" fmla="val 3876"/>
                      </a:avLst>
                    </a:prstGeom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085FE9F" w14:textId="6765C2B8" w:rsidR="009E2EE7" w:rsidRDefault="009E2EE7" w:rsidP="009E2EE7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lang w:val="en-US" w:eastAsia="fi-FI"/>
        </w:rPr>
      </w:pPr>
      <w:r w:rsidRPr="000207EA">
        <w:rPr>
          <w:rFonts w:ascii="Calibri" w:eastAsia="Times New Roman" w:hAnsi="Calibri" w:cs="Calibri"/>
          <w:b/>
          <w:bCs/>
          <w:color w:val="000000"/>
          <w:lang w:val="en-US" w:eastAsia="fi-FI"/>
        </w:rPr>
        <w:lastRenderedPageBreak/>
        <w:t>Figure 2.5</w:t>
      </w:r>
      <w:r>
        <w:rPr>
          <w:rFonts w:ascii="Calibri" w:eastAsia="Times New Roman" w:hAnsi="Calibri" w:cs="Calibri"/>
          <w:color w:val="000000"/>
          <w:lang w:val="en-US" w:eastAsia="fi-FI"/>
        </w:rPr>
        <w:t xml:space="preserve"> </w:t>
      </w:r>
      <w:r w:rsidRPr="000207EA">
        <w:rPr>
          <w:rFonts w:ascii="Calibri" w:eastAsia="Times New Roman" w:hAnsi="Calibri" w:cs="Calibri"/>
          <w:b/>
          <w:bCs/>
          <w:color w:val="000000"/>
          <w:lang w:val="en-US" w:eastAsia="fi-FI"/>
        </w:rPr>
        <w:t>Example of a sample multiple sequence alignment with consensus regions and the consensus score with individual scores as well (which we call divergence score in this paper).</w:t>
      </w:r>
    </w:p>
    <w:p w14:paraId="092DF485" w14:textId="77777777" w:rsidR="009E2EE7" w:rsidRDefault="009E2EE7" w:rsidP="009E2EE7">
      <w:pPr>
        <w:rPr>
          <w:lang w:val="en-US"/>
        </w:rPr>
      </w:pPr>
    </w:p>
    <w:p w14:paraId="0F8AF95E" w14:textId="77777777" w:rsidR="009E2EE7" w:rsidRDefault="009E2EE7" w:rsidP="009E2EE7">
      <w:pPr>
        <w:spacing w:after="0" w:line="240" w:lineRule="auto"/>
        <w:jc w:val="center"/>
        <w:rPr>
          <w:rFonts w:ascii="Calibri" w:eastAsia="Times New Roman" w:hAnsi="Calibri" w:cs="Calibri"/>
          <w:color w:val="000000"/>
          <w:lang w:val="en-US" w:eastAsia="fi-FI"/>
        </w:rPr>
      </w:pPr>
      <w:r>
        <w:rPr>
          <w:noProof/>
        </w:rPr>
        <w:drawing>
          <wp:inline distT="0" distB="0" distL="0" distR="0" wp14:anchorId="50175E6E" wp14:editId="2B8E943A">
            <wp:extent cx="5095875" cy="2171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4285" w14:textId="77777777" w:rsidR="009E2EE7" w:rsidRDefault="009E2EE7" w:rsidP="009E2EE7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lang w:val="en-US" w:eastAsia="fi-FI"/>
        </w:rPr>
      </w:pPr>
      <w:r w:rsidRPr="00301491">
        <w:rPr>
          <w:rFonts w:ascii="Calibri" w:eastAsia="Times New Roman" w:hAnsi="Calibri" w:cs="Calibri"/>
          <w:b/>
          <w:bCs/>
          <w:color w:val="000000"/>
          <w:lang w:val="en-US" w:eastAsia="fi-FI"/>
        </w:rPr>
        <w:t>Figure 3.</w:t>
      </w:r>
      <w:r>
        <w:rPr>
          <w:rFonts w:ascii="Calibri" w:eastAsia="Times New Roman" w:hAnsi="Calibri" w:cs="Calibri"/>
          <w:b/>
          <w:bCs/>
          <w:color w:val="000000"/>
          <w:lang w:val="en-US" w:eastAsia="fi-FI"/>
        </w:rPr>
        <w:t xml:space="preserve"> The DIPs are replaced by the corresponding divergence from consensus score, lying between 0 and 100. </w:t>
      </w:r>
    </w:p>
    <w:p w14:paraId="033DCB13" w14:textId="77777777" w:rsidR="009E2EE7" w:rsidRDefault="009E2EE7" w:rsidP="009E2EE7">
      <w:pPr>
        <w:rPr>
          <w:lang w:val="en-US"/>
        </w:rPr>
      </w:pPr>
    </w:p>
    <w:p w14:paraId="74A45ACF" w14:textId="77777777" w:rsidR="009E2EE7" w:rsidRDefault="009E2EE7" w:rsidP="009E2EE7">
      <w:pPr>
        <w:spacing w:after="0" w:line="240" w:lineRule="auto"/>
        <w:jc w:val="center"/>
        <w:rPr>
          <w:rFonts w:ascii="Segoe UI" w:hAnsi="Segoe UI" w:cs="Segoe UI"/>
          <w:color w:val="24292E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7D94EFD" wp14:editId="06B7F231">
            <wp:extent cx="4629150" cy="1543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BF45" w14:textId="77777777" w:rsidR="009E2EE7" w:rsidRPr="00497984" w:rsidRDefault="009E2EE7" w:rsidP="009E2EE7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lang w:val="en-US" w:eastAsia="fi-FI"/>
        </w:rPr>
      </w:pPr>
      <w:r w:rsidRPr="007F643F">
        <w:rPr>
          <w:rFonts w:ascii="Calibri" w:eastAsia="Times New Roman" w:hAnsi="Calibri" w:cs="Calibri"/>
          <w:b/>
          <w:bCs/>
          <w:color w:val="000000"/>
          <w:lang w:val="en-US" w:eastAsia="fi-FI"/>
        </w:rPr>
        <w:t>Figure</w:t>
      </w:r>
      <w:r w:rsidRPr="00497984">
        <w:rPr>
          <w:rFonts w:ascii="Calibri" w:eastAsia="Times New Roman" w:hAnsi="Calibri" w:cs="Calibri"/>
          <w:b/>
          <w:bCs/>
          <w:color w:val="000000"/>
          <w:lang w:val="en-US" w:eastAsia="fi-FI"/>
        </w:rPr>
        <w:t xml:space="preserve"> 4. Now, the single nucleotide variations, SNVs or SNPs, are also one-hot encoded</w:t>
      </w:r>
    </w:p>
    <w:p w14:paraId="1582A597" w14:textId="77777777" w:rsidR="009E2EE7" w:rsidRPr="009E2EE7" w:rsidRDefault="009E2EE7" w:rsidP="009E2EE7">
      <w:pPr>
        <w:rPr>
          <w:lang w:val="en-US"/>
        </w:rPr>
      </w:pPr>
    </w:p>
    <w:p w14:paraId="45EBFBF6" w14:textId="77777777" w:rsidR="009E2EE7" w:rsidRPr="000207EA" w:rsidRDefault="009E2EE7" w:rsidP="009E2EE7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lang w:val="en-US" w:eastAsia="fi-FI"/>
        </w:rPr>
      </w:pPr>
    </w:p>
    <w:p w14:paraId="4B122D18" w14:textId="77777777" w:rsidR="009E2EE7" w:rsidRDefault="009E2EE7" w:rsidP="009E2EE7">
      <w:pPr>
        <w:jc w:val="center"/>
        <w:rPr>
          <w:lang w:val="en-US"/>
        </w:rPr>
      </w:pPr>
    </w:p>
    <w:p w14:paraId="52E956E3" w14:textId="7FA07E17" w:rsidR="009E2EE7" w:rsidRDefault="009E2EE7" w:rsidP="009E2EE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2D805E" wp14:editId="4AA29FA4">
            <wp:extent cx="4048125" cy="29615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954" cy="301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711AA" w14:textId="77777777" w:rsidR="009E2EE7" w:rsidRPr="00FA0A9B" w:rsidRDefault="009E2EE7" w:rsidP="009E2EE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Figure 4.5. </w:t>
      </w:r>
      <w:r w:rsidRPr="00FA0A9B">
        <w:rPr>
          <w:b/>
          <w:bCs/>
          <w:lang w:val="en-US"/>
        </w:rPr>
        <w:t xml:space="preserve">Confusion MATRIX for </w:t>
      </w:r>
      <w:proofErr w:type="spellStart"/>
      <w:r>
        <w:rPr>
          <w:b/>
          <w:bCs/>
          <w:lang w:val="en-US"/>
        </w:rPr>
        <w:t>ExhaustiveDNN</w:t>
      </w:r>
      <w:proofErr w:type="spellEnd"/>
      <w:r w:rsidRPr="00FA0A9B">
        <w:rPr>
          <w:b/>
          <w:bCs/>
          <w:lang w:val="en-US"/>
        </w:rPr>
        <w:t xml:space="preserve"> model.</w:t>
      </w:r>
    </w:p>
    <w:p w14:paraId="00492882" w14:textId="77777777" w:rsidR="009E2EE7" w:rsidRDefault="009E2EE7" w:rsidP="009E2EE7">
      <w:pPr>
        <w:jc w:val="center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E2EE7" w14:paraId="5DDF478C" w14:textId="77777777" w:rsidTr="007C0D4B">
        <w:tc>
          <w:tcPr>
            <w:tcW w:w="4814" w:type="dxa"/>
          </w:tcPr>
          <w:p w14:paraId="11A3AC71" w14:textId="77777777" w:rsidR="009E2EE7" w:rsidRDefault="009E2EE7" w:rsidP="007C0D4B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BB82E5" wp14:editId="58998A58">
                  <wp:extent cx="2616654" cy="191452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832" cy="1958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F1B1AC8" w14:textId="77777777" w:rsidR="009E2EE7" w:rsidRDefault="009E2EE7" w:rsidP="007C0D4B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5D3540" wp14:editId="33D0A594">
                  <wp:extent cx="2736133" cy="1962150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585" cy="1998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EE7" w14:paraId="03B128D2" w14:textId="77777777" w:rsidTr="007C0D4B">
        <w:tc>
          <w:tcPr>
            <w:tcW w:w="4814" w:type="dxa"/>
          </w:tcPr>
          <w:p w14:paraId="59C8B08E" w14:textId="77777777" w:rsidR="009E2EE7" w:rsidRDefault="009E2EE7" w:rsidP="007C0D4B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66CE39F" wp14:editId="7A654830">
                  <wp:extent cx="2657475" cy="1935336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36" cy="1972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32A2A9B" w14:textId="77777777" w:rsidR="009E2EE7" w:rsidRDefault="009E2EE7" w:rsidP="007C0D4B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8F5C31" wp14:editId="08D075EE">
                  <wp:extent cx="2758440" cy="1909755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251" cy="1941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EE7" w14:paraId="755C2BF3" w14:textId="77777777" w:rsidTr="007C0D4B">
        <w:tc>
          <w:tcPr>
            <w:tcW w:w="4814" w:type="dxa"/>
          </w:tcPr>
          <w:p w14:paraId="3E77AFB9" w14:textId="77777777" w:rsidR="009E2EE7" w:rsidRDefault="009E2EE7" w:rsidP="007C0D4B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48F2CB" wp14:editId="49972C96">
                  <wp:extent cx="2667000" cy="175621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168" cy="1805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09D15DB" w14:textId="77777777" w:rsidR="009E2EE7" w:rsidRDefault="009E2EE7" w:rsidP="007C0D4B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966456" wp14:editId="6F941C05">
                  <wp:extent cx="2498725" cy="1820249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941" cy="1850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EE7" w14:paraId="68ABA1BD" w14:textId="77777777" w:rsidTr="007C0D4B">
        <w:tc>
          <w:tcPr>
            <w:tcW w:w="4814" w:type="dxa"/>
          </w:tcPr>
          <w:p w14:paraId="6C0F0EB9" w14:textId="77777777" w:rsidR="009E2EE7" w:rsidRDefault="009E2EE7" w:rsidP="007C0D4B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003D16C" wp14:editId="4D85DB66">
                  <wp:extent cx="2595311" cy="18935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643" cy="192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8B4BC61" w14:textId="77777777" w:rsidR="009E2EE7" w:rsidRDefault="009E2EE7" w:rsidP="007C0D4B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3EB69E" wp14:editId="37F087B7">
                  <wp:extent cx="2459516" cy="17983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725" cy="1819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8BAF6" w14:textId="77777777" w:rsidR="009E2EE7" w:rsidRDefault="009E2EE7" w:rsidP="009E2EE7">
      <w:pPr>
        <w:jc w:val="center"/>
        <w:rPr>
          <w:b/>
          <w:bCs/>
          <w:lang w:val="en-US"/>
        </w:rPr>
      </w:pPr>
    </w:p>
    <w:p w14:paraId="0F5AC5D0" w14:textId="0C691E5B" w:rsidR="009E2EE7" w:rsidRDefault="009E2EE7" w:rsidP="009E2EE7">
      <w:pPr>
        <w:jc w:val="center"/>
        <w:rPr>
          <w:rFonts w:ascii="Calibri" w:eastAsia="Times New Roman" w:hAnsi="Calibri" w:cs="Calibri"/>
          <w:color w:val="000000"/>
          <w:lang w:val="en-US" w:eastAsia="fi-FI"/>
        </w:rPr>
      </w:pPr>
      <w:r>
        <w:rPr>
          <w:b/>
          <w:bCs/>
          <w:lang w:val="en-US"/>
        </w:rPr>
        <w:t xml:space="preserve">Fig 5. Top left to bottom right: </w:t>
      </w:r>
      <w:r w:rsidRPr="00FA0A9B">
        <w:rPr>
          <w:b/>
          <w:bCs/>
          <w:lang w:val="en-US"/>
        </w:rPr>
        <w:t>Confusion MATRIX for logistic regression</w:t>
      </w:r>
      <w:r>
        <w:rPr>
          <w:b/>
          <w:bCs/>
          <w:lang w:val="en-US"/>
        </w:rPr>
        <w:t>,</w:t>
      </w:r>
      <w:r w:rsidRPr="00FA0A9B">
        <w:rPr>
          <w:b/>
          <w:bCs/>
          <w:lang w:val="en-US"/>
        </w:rPr>
        <w:t xml:space="preserve"> Naïve Bayes</w:t>
      </w:r>
      <w:r>
        <w:rPr>
          <w:b/>
          <w:bCs/>
          <w:lang w:val="en-US"/>
        </w:rPr>
        <w:t>,</w:t>
      </w:r>
      <w:r w:rsidRPr="00FA0A9B">
        <w:rPr>
          <w:b/>
          <w:bCs/>
          <w:lang w:val="en-US"/>
        </w:rPr>
        <w:t xml:space="preserve"> Gradient Boost</w:t>
      </w:r>
      <w:r>
        <w:rPr>
          <w:b/>
          <w:bCs/>
          <w:lang w:val="en-US"/>
        </w:rPr>
        <w:t>,</w:t>
      </w:r>
      <w:r w:rsidRPr="00FA0A9B">
        <w:rPr>
          <w:b/>
          <w:bCs/>
          <w:lang w:val="en-US"/>
        </w:rPr>
        <w:t xml:space="preserve"> Bagging approach</w:t>
      </w:r>
      <w:r>
        <w:rPr>
          <w:b/>
          <w:bCs/>
          <w:lang w:val="en-US"/>
        </w:rPr>
        <w:t>,</w:t>
      </w:r>
      <w:r w:rsidRPr="00FA0A9B">
        <w:rPr>
          <w:b/>
          <w:bCs/>
          <w:lang w:val="en-US"/>
        </w:rPr>
        <w:t xml:space="preserve"> AdaBoost</w:t>
      </w:r>
      <w:r>
        <w:rPr>
          <w:b/>
          <w:bCs/>
          <w:lang w:val="en-US"/>
        </w:rPr>
        <w:t>,</w:t>
      </w:r>
      <w:r w:rsidRPr="00FA0A9B"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RandomForest</w:t>
      </w:r>
      <w:proofErr w:type="spellEnd"/>
      <w:r>
        <w:rPr>
          <w:b/>
          <w:bCs/>
          <w:lang w:val="en-US"/>
        </w:rPr>
        <w:t>,</w:t>
      </w:r>
      <w:r w:rsidRPr="00FA0A9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Support Vector &amp;</w:t>
      </w:r>
      <w:r w:rsidRPr="00FA0A9B"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Extratree</w:t>
      </w:r>
      <w:proofErr w:type="spellEnd"/>
      <w:r>
        <w:rPr>
          <w:b/>
          <w:bCs/>
          <w:lang w:val="en-US"/>
        </w:rPr>
        <w:t xml:space="preserve"> Classifier respectively</w:t>
      </w:r>
      <w:bookmarkStart w:id="0" w:name="_GoBack"/>
      <w:bookmarkEnd w:id="0"/>
    </w:p>
    <w:sectPr w:rsidR="009E2EE7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EE7"/>
    <w:rsid w:val="001E0FB1"/>
    <w:rsid w:val="009E2EE7"/>
    <w:rsid w:val="00D1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11CF6"/>
  <w15:chartTrackingRefBased/>
  <w15:docId w15:val="{63A7C5F3-7349-4701-A66D-6B57855D2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2E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2E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94</Words>
  <Characters>770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Singh</dc:creator>
  <cp:keywords/>
  <dc:description/>
  <cp:lastModifiedBy>Abhishek Singh</cp:lastModifiedBy>
  <cp:revision>1</cp:revision>
  <dcterms:created xsi:type="dcterms:W3CDTF">2020-01-30T15:01:00Z</dcterms:created>
  <dcterms:modified xsi:type="dcterms:W3CDTF">2020-01-30T15:09:00Z</dcterms:modified>
</cp:coreProperties>
</file>