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34"/>
          <w:szCs w:val="34"/>
        </w:rPr>
        <w:t xml:space="preserve">Methods &amp; Reproducibility Log</w:t>
      </w:r>
    </w:p>
    <w:p>
      <w:pPr>
        <w:spacing w:after="60"/>
      </w:pPr>
      <w:r>
        <w:rPr>
          <w:i/>
          <w:iCs/>
          <w:color w:val="595959"/>
          <w:sz w:val="22"/>
          <w:szCs w:val="22"/>
        </w:rPr>
        <w:t xml:space="preserve">Remote sensing and geospatial approaches for multi-hazard monitoring in Nepal</w:t>
      </w:r>
    </w:p>
    <w:p>
      <w:pPr>
        <w:spacing w:after="220"/>
      </w:pPr>
      <w:r>
        <w:rPr>
          <w:color w:val="808080"/>
          <w:sz w:val="18"/>
          <w:szCs w:val="18"/>
        </w:rPr>
        <w:t xml:space="preserve">Systematic / hybrid review. Databases: Scopus + Web of Science (2016-2025). Screening: full manual title/abstract review.</w:t>
      </w:r>
    </w:p>
    <w:p>
      <w:pPr>
        <w:pStyle w:val="Heading1"/>
      </w:pPr>
      <w:r>
        <w:t xml:space="preserve">1. Search strategy</w:t>
      </w:r>
    </w:p>
    <w:p>
      <w:pPr>
        <w:spacing w:after="120"/>
      </w:pPr>
      <w:r>
        <w:t xml:space="preserve">Two databases - Scopus and the Web of Science Core Collection - were searched on 14 June 2026 (window 2016-2025) using five complementary Boolean streams (Table 1): a broad multi-hazard query and four hazard-specific queries that add hazard-appropriate sensor/method terms. The field operator was TITLE-ABS-KEY in Scopus and TS (Topic) in Web of Science.</w:t>
      </w:r>
    </w:p>
    <w:p>
      <w:pPr>
        <w:spacing w:after="120"/>
      </w:pPr>
      <w:r>
        <w:rPr>
          <w:i/>
          <w:iCs/>
          <w:color w:val="808080"/>
          <w:sz w:val="18"/>
          <w:szCs w:val="18"/>
        </w:rPr>
        <w:t xml:space="preserve">Table 1. The five search streams.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Stream</w:t>
            </w:r>
          </w:p>
        </w:tc>
        <w:tc>
          <w:tcPr>
            <w:tcW w:type="dxa" w:w="7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Boolean query (Scopus TITLE-ABS-KEY; WoS TS)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Main</w:t>
            </w:r>
          </w:p>
        </w:tc>
        <w:tc>
          <w:tcPr>
            <w:tcW w:type="dxa" w:w="7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("remote sensing" OR satellite OR "earth observation" OR geospatial OR GIS) AND (flood* OR landslide* OR "glacial lake outburst flood" OR GLOF OR drought* OR "multi-hazard") AND Nepal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Flood</w:t>
            </w:r>
          </w:p>
        </w:tc>
        <w:tc>
          <w:tcPr>
            <w:tcW w:type="dxa" w:w="7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("remote sensing" OR satellite OR GIS OR "earth observation") AND (flood* OR inundation) AND Nepal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Landslide</w:t>
            </w:r>
          </w:p>
        </w:tc>
        <w:tc>
          <w:tcPr>
            <w:tcW w:type="dxa" w:w="7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("remote sensing" OR satellite OR GIS OR DEM OR InSAR) AND (landslide* OR "slope failure") AND Nepal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GLOF</w:t>
            </w:r>
          </w:p>
        </w:tc>
        <w:tc>
          <w:tcPr>
            <w:tcW w:type="dxa" w:w="7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("remote sensing" OR satellite OR GIS OR DEM) AND ("glacial lake outburst flood" OR GLOF OR glacier*) AND Nepal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Drought</w:t>
            </w:r>
          </w:p>
        </w:tc>
        <w:tc>
          <w:tcPr>
            <w:tcW w:type="dxa" w:w="7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("remote sensing" OR satellite OR GIS OR NDVI) AND (drought* OR "vegetation stress") AND Nepal</w:t>
            </w:r>
          </w:p>
        </w:tc>
      </w:tr>
    </w:tbl>
    <w:p>
      <w:pPr>
        <w:pStyle w:val="Heading1"/>
      </w:pPr>
      <w:r>
        <w:t xml:space="preserve">2. Eligibility</w:t>
      </w:r>
    </w:p>
    <w:p>
      <w:pPr>
        <w:spacing w:after="120"/>
      </w:pPr>
      <w:r>
        <w:t xml:space="preserve">Inclusion required all three of: (i) Nepal as the actual study area; (ii) a concrete remote-sensing/geospatial method; (iii) a hazard-monitoring focus. Reviews, books and conference papers were retained separately for context, not as primary studies.</w:t>
      </w:r>
    </w:p>
    <w:p>
      <w:pPr>
        <w:pStyle w:val="Heading1"/>
      </w:pPr>
      <w:r>
        <w:t xml:space="preserve">3. De-duplication</w:t>
      </w:r>
    </w:p>
    <w:p>
      <w:pPr>
        <w:spacing w:after="120"/>
      </w:pPr>
      <w:r>
        <w:t>Records were pooled and de-duplicated by a logged routine using ordered cross-database keys: DOI, then title+year, then native id. Of 1,362 records, 855 were duplicates (843 DOI; 12 title+year), leaving 507 unique; 248 were indexed in both databases. Removing 24 non-article types left 483 articles for screening.</w:t>
      </w:r>
    </w:p>
    <w:p>
      <w:pPr>
        <w:pStyle w:val="Heading1"/>
      </w:pPr>
      <w:r>
        <w:t xml:space="preserve">4. Screening (manual)</w:t>
      </w:r>
    </w:p>
    <w:p>
      <w:pPr>
        <w:spacing w:after="120"/>
      </w:pPr>
      <w:r>
        <w:t>All 483 articles underwent manual title/abstract screening. A documented relevance classifier provided an initial sort and provisional tags, but every candidate was read and adjudicated against the eligibility test. Screening excluded 228 articles - 160 not a Nepal study area (mostly other High Mountain Asia regions, or generic methods not applied to Nepal), 52 off-topic (air quality, ecology/wildlife, social/livelihood, agronomy, governance), and 16 not remote-sensing-based - leaving 255 confirmed in scope. One further eligible article, identified through citation snowballing, was added on the same basis, for 256 in scope.</w:t>
      </w:r>
    </w:p>
    <w:p>
      <w:pPr>
        <w:pStyle w:val="Heading1"/>
      </w:pPr>
      <w:r>
        <w:t xml:space="preserve">5. PRISMA record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1500"/>
        <w:gridCol w:w="1500"/>
      </w:tblGrid>
      <w:tr>
        <w:trPr>
          <w:tblHeader/>
        </w:trPr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Cumulative</w:t>
            </w:r>
          </w:p>
        </w:tc>
      </w:tr>
      <w:tr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Records identified - Scopus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567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Records identified - Web of Science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795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Total identified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1,362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1,362</w:t>
            </w:r>
          </w:p>
        </w:tc>
      </w:tr>
      <w:tr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Duplicates removed (DOI 843; title+year 12)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-855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507</w:t>
            </w:r>
          </w:p>
        </w:tc>
      </w:tr>
      <w:tr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Non-article doc types removed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-24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483</w:t>
            </w:r>
          </w:p>
        </w:tc>
      </w:tr>
      <w:tr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Excluded at title/abstract screening (manual)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-228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255</w:t>
            </w:r>
          </w:p>
        </w:tc>
      </w:tr>
      <w:tr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Added via citation snowballing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+1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256</w:t>
            </w:r>
          </w:p>
        </w:tc>
      </w:tr>
      <w:tr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Articles in scope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256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256</w:t>
            </w:r>
          </w:p>
        </w:tc>
      </w:tr>
      <w:tr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In-depth synthesis core (stratified)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100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100</w:t>
            </w:r>
          </w:p>
        </w:tc>
      </w:tr>
    </w:tbl>
    <w:p>
      <w:pPr>
        <w:pStyle w:val="Heading1"/>
      </w:pPr>
      <w:r>
        <w:t xml:space="preserve">6. Prioritisation of the synthesis core</w:t>
      </w:r>
    </w:p>
    <w:p>
      <w:pPr>
        <w:spacing w:after="120"/>
      </w:pPr>
      <w:r>
        <w:t>From 256 in-scope articles, a core of 100 was selected by an explicit priority score (multi-hazard relevance 25%, thematic centrality 25%, operational content 15%, recency 15%, cross-database validation 10%, citations/yr 10%), stratified by hazard with a floor of ten per stratum. Core composition: Landslide 39, Multi-hazard 23, GLOF 16, Flood 15, Drought 7 (all available Nepal drought studies); 80 of 100 are from 2020 or later. A final manual QA pass replaced five weaker fits (generic deep-learning architectures and pure glacier-process studies) with Nepal-specific hazard studies of the same hazard.</w:t>
      </w:r>
    </w:p>
    <w:p>
      <w:pPr>
        <w:pStyle w:val="Heading1"/>
      </w:pPr>
      <w:r>
        <w:t xml:space="preserve">7. Bibliometric snapshot (in-scope, n=256)</w:t>
      </w:r>
    </w:p>
    <w:p>
      <w:pPr>
        <w:pStyle w:val="Heading2"/>
      </w:pPr>
      <w:r>
        <w:t xml:space="preserve">7.1 Publications by year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Year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Year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2016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2022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2017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2023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2018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2024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2019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2025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32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2020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2021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7.2 Database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rPr>
          <w:tblHeader/>
        </w:trPr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Database coverage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In-scope articles</w:t>
            </w:r>
          </w:p>
        </w:tc>
      </w:tr>
      <w:tr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Both databases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178</w:t>
            </w:r>
          </w:p>
        </w:tc>
      </w:tr>
      <w:tr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Web of Science only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48</w:t>
            </w:r>
          </w:p>
        </w:tc>
      </w:tr>
      <w:tr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Neither (added via citation snowballing)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1</w:t>
            </w:r>
          </w:p>
        </w:tc>
      </w:tr>
      <w:tr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Scopus only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7.3 By hazard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rPr>
          <w:tblHeader/>
        </w:trPr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Hazard (primary)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In-scope articles</w:t>
            </w:r>
          </w:p>
        </w:tc>
      </w:tr>
      <w:tr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Landslide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113</w:t>
            </w:r>
          </w:p>
        </w:tc>
      </w:tr>
      <w:tr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Multi-hazard / cascade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69</w:t>
            </w:r>
          </w:p>
        </w:tc>
      </w:tr>
      <w:tr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GLOF / glacier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34</w:t>
            </w:r>
          </w:p>
        </w:tc>
      </w:tr>
      <w:tr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Flood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33</w:t>
            </w:r>
          </w:p>
        </w:tc>
      </w:tr>
      <w:tr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Drought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</w:tr>
    </w:tbl>
    <w:p>
      <w:pPr>
        <w:pStyle w:val="Heading1"/>
      </w:pPr>
      <w:r>
        <w:t xml:space="preserve">8. Reproducibility</w:t>
      </w:r>
    </w:p>
    <w:p>
      <w:pPr>
        <w:spacing w:after="120"/>
      </w:pPr>
      <w:r>
        <w:t xml:space="preserve">The pipeline (merge_dedupe.py, classify_screen.py, manual decisions, rank_priority.py) and all derived datasets are provided as supplementary material and in a public repository. Raw Scopus/WoS records are not redistributed (database licensing); the repository shares scripts, DOI-keyed decisions, and instructions to regenerate the corpus.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Methods &amp; Reproducibility Log - Multi-hazard Nepal review    |   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2E5496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2026-06-17T21:30:38.607Z</dcterms:created>
  <dcterms:modified xsi:type="dcterms:W3CDTF">2026-06-17T21:30:38.607Z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