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Subject-Independent Detection of ADHD from Raw EEG: A Nested Cross-Validation Reassessment of CNN and Hybrid Classifiers</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Pairwise model comparisons at the native resolution used a subject-level paired bootstrap and permutation test (one paired observation per subject, n = 121) with Holm–Bonferroni correction, rather than treating repeated cross-validation folds as independent observations; the resolution-sensitivity comparison (Section 4.8), whose 5 outer folds are not reused across repetitions, used a paired Wilcoxon signed-rank test with Holm–Bonferroni correction.</w:t>
      </w:r>
    </w:p>
    <w:p>
      <w:r>
        <w:rPr>
          <w:b/>
        </w:rPr>
        <w:t>Results.</w:t>
      </w:r>
      <w:r>
        <w:t xml:space="preserve"> At the subject level, EEGNet achieved the highest balanced accuracy (0.793, 95% CI 0.723–0.862; AUC 0.902, 95% CI 0.844–0.949). Using a subject-level paired bootstrap and permutation test (n = 121 subjects, Holm-corrected within an 11-comparison family; Section 3.17), EEGNet, ShallowConvNet (balanced accuracy 0.737, 95% CI 0.660–0.811), and the CNN-plus-logistic-regression classifier (balanced accuracy 0.743, 95% CI 0.667–0.816) showed a statistically significant balanced-accuracy advantage over the plain CNN (balanced accuracy 0.547, 95% CI 0.459–0.627). The remaining CNN-derived hybrid classifiers (radial-basis-function and linear support vector machines, random forest, k-nearest neighbours, Gaussian naive Bayes), and DeepConvNet, showed no statistically significant difference from the plain CNN under this test, despite several showing a higher point estimate. Covariance alignment (CORAL) applied to the logistic-regression classifier did not improve balanced accuracy relative to the unaligned classifier (0.735 versus 0.743). A sensitivity analysis comparing the native, assumed 128 Hz representation against a 128-to-512 Hz FFT-interpolated representation found no statistically significant difference for either CNN or EEGNet (both p &gt; 0.18; 5 paired outer folds each); we do not interpret this as evidence about the recording's true sampling rate.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repeated,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implement all three networks in this study (Section 3) following their published architecture descriptions, rather than importing an external EEG-modelling package.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 Figure 1 shows this design schematically for one repetition's 5 outer folds.</w:t>
      </w:r>
    </w:p>
    <w:p>
      <w:pPr>
        <w:jc w:val="center"/>
      </w:pPr>
      <w:r>
        <w:drawing>
          <wp:inline xmlns:a="http://schemas.openxmlformats.org/drawingml/2006/main" xmlns:pic="http://schemas.openxmlformats.org/drawingml/2006/picture">
            <wp:extent cx="5486400" cy="3259702"/>
            <wp:docPr id="1" name="Picture 1"/>
            <wp:cNvGraphicFramePr>
              <a:graphicFrameLocks noChangeAspect="1"/>
            </wp:cNvGraphicFramePr>
            <a:graphic>
              <a:graphicData uri="http://schemas.openxmlformats.org/drawingml/2006/picture">
                <pic:pic>
                  <pic:nvPicPr>
                    <pic:cNvPr id="0" name="fig3_nested_cv_schematic.png"/>
                    <pic:cNvPicPr/>
                  </pic:nvPicPr>
                  <pic:blipFill>
                    <a:blip r:embed="rId9"/>
                    <a:stretch>
                      <a:fillRect/>
                    </a:stretch>
                  </pic:blipFill>
                  <pic:spPr>
                    <a:xfrm>
                      <a:off x="0" y="0"/>
                      <a:ext cx="5486400" cy="3259702"/>
                    </a:xfrm>
                    <a:prstGeom prst="rect"/>
                  </pic:spPr>
                </pic:pic>
              </a:graphicData>
            </a:graphic>
          </wp:inline>
        </w:drawing>
      </w:r>
    </w:p>
    <w:p>
      <w:pPr>
        <w:jc w:val="center"/>
      </w:pPr>
      <w:r>
        <w:rPr>
          <w:i/>
          <w:sz w:val="20"/>
        </w:rPr>
        <w:t>Figure 1. Schematic of the nested, subject-grouped cross-validation design for one repetition (5 outer folds). Each outer fold trains on that fold's outer-train subjects, with an inner 4-fold GroupKFold split (not shown at this resolution) selecting the training-epoch budget; the outer-test subjects (right, red) are evaluated exactly once and never contribute to any training or selection step.</w:t>
      </w:r>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rPr>
          <w:b/>
        </w:rPr>
        <w:t>Why the primary test is subject-level, not fold-level.</w:t>
      </w:r>
      <w:r>
        <w:t xml:space="preserve"> An earlier version of this analysis compared models using a Wilcoxon signed-rank test applied to 25 per-(repetition, outer-fold) balanced-accuracy values (5 repetitions × 5 outer folds). We do not use that procedure as the primary inferential test in this paper, because those 25 values are not 25 independent observations: every repetition reuses the same 121 subjects, merely reshuffled into a different fold partition, so a subject who is unusually easy or unusually hard to classify contributes correlated information to as many as 5 of the 25 values. Treating repeated-CV fold estimates as independent replicates in this way is a form of pseudo-replication that can understate the true sampling uncertainty and yield artificially small p-values; we return to this as a named limitation in Section 6.</w:t>
      </w:r>
    </w:p>
    <w:p>
      <w:r>
        <w:rPr>
          <w:b/>
        </w:rPr>
        <w:t>Primary procedure.</w:t>
      </w:r>
      <w:r>
        <w:t xml:space="preserve"> For each pairwise comparison, we instead construct exactly one paired observation per subject (n = 121): each model's per-subject prediction is the same mean-probability aggregation used for Table 3 and Table 4 (that subject's predicted probability pooled across all epochs and all 5 repetitions, thresholded at 0.5; Section 3.14), so every subject contributes a single paired data point regardless of how many folds or repetitions its epochs happened to fall into. We report two complementary resampling-based tests on this paired, subject-level data: (i) a paired bootstrap, in which the 121 subject indices are resampled with replacement 20,000 times, the same resampled indices are applied to both models' predictions to preserve the pairing, and both models' balanced accuracy is recomputed on each resample, yielding a bootstrap distribution of the balanced-accuracy difference, its mean, its 95% percentile confidence interval, and a two-sided p-value (2 × min[P(diff ≤ 0), P(diff ≥ 0)], capped at 1, equivalent to inverting the percentile confidence interval); and (ii) a paired permutation test, in which, independently for each subject, the two models' predictions are swapped with probability 0.5 (testing the null hypothesis that which model produced a given subject's prediction is exchangeable), repeated 20,000 times, with a two-sided p-value computed as the proportion of permuted differences at least as extreme as the one observed. We report both because they rest on different assumptions and, where they agree, that agreement is itself informative; where they disagree, we report both values rather than the more favorable one. A bootstrap-based standardized effect size (the observed mean difference divided by the bootstrap standard deviation of that difference) is reported alongside each comparison.</w:t>
      </w:r>
    </w:p>
    <w:p>
      <w:r>
        <w:t>All comparisons in Table 5 are made against the plain CNN at 128 Hz as the pre-specified reference model, restricted to the native 128 Hz condition (11 comparisons: every other model evaluated at 128 Hz); both the bootstrap and the permutation p-values are Holm–Bonferroni corrected [38] within that 11-comparison family. The 128-to-512 Hz interpolation condition (Table 6) concerns a different scientific question (resolution sensitivity, not model superiority at the native resolution) and is corrected within its own, separate, 2-comparison family; because the interpolation condition was run for a single repetition only (Section 3.19), its 5 outer folds are a genuinely disjoint, non-reused subject partition, so the pseudo-replication concern above does not apply there and the original per-fold Wilcoxon signed-rank test [37] is retained for Table 6.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Exact package version numbers for this specific run were not recorded at run time; the notebook environment (Google Colab) uses whichever TensorFlow, scikit-learn, NumPy, and SciPy versions are preinstalled on its base image, which may differ from the versions pinned in this project's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r>
        <w:t>Figure 2 shows the subject-level ROC curves for every model, and Figure 3 shows the corresponding subject-level confusion matrices.</w:t>
      </w:r>
    </w:p>
    <w:p>
      <w:pPr>
        <w:jc w:val="center"/>
      </w:pPr>
      <w:r>
        <w:drawing>
          <wp:inline xmlns:a="http://schemas.openxmlformats.org/drawingml/2006/main" xmlns:pic="http://schemas.openxmlformats.org/drawingml/2006/picture">
            <wp:extent cx="5486400" cy="5593876"/>
            <wp:docPr id="2" name="Picture 2"/>
            <wp:cNvGraphicFramePr>
              <a:graphicFrameLocks noChangeAspect="1"/>
            </wp:cNvGraphicFramePr>
            <a:graphic>
              <a:graphicData uri="http://schemas.openxmlformats.org/drawingml/2006/picture">
                <pic:pic>
                  <pic:nvPicPr>
                    <pic:cNvPr id="0" name="fig5_subject_roc.png"/>
                    <pic:cNvPicPr/>
                  </pic:nvPicPr>
                  <pic:blipFill>
                    <a:blip r:embed="rId10"/>
                    <a:stretch>
                      <a:fillRect/>
                    </a:stretch>
                  </pic:blipFill>
                  <pic:spPr>
                    <a:xfrm>
                      <a:off x="0" y="0"/>
                      <a:ext cx="5486400" cy="5593876"/>
                    </a:xfrm>
                    <a:prstGeom prst="rect"/>
                  </pic:spPr>
                </pic:pic>
              </a:graphicData>
            </a:graphic>
          </wp:inline>
        </w:drawing>
      </w:r>
    </w:p>
    <w:p>
      <w:pPr>
        <w:jc w:val="center"/>
      </w:pPr>
      <w:r>
        <w:rPr>
          <w:i/>
          <w:sz w:val="20"/>
        </w:rPr>
        <w:t>Figure 2. Subject-level receiver operating characteristic (ROC) curves for all ten models, computed from the mean-predicted-probability aggregation described in Section 3.14 (n = 121 subjects each). Area-under-curve (AUC) values shown in the legend correspond to the AUC column of Table 3. EEGNet (AUC = 0.90) and ShallowConvNet (AUC = 0.86) dominate the other models across most of the false-positive-rate range; the plain CNN (AUC = 0.56) lies close to the chance diagonal.</w:t>
      </w:r>
    </w:p>
    <w:p>
      <w:pPr>
        <w:jc w:val="center"/>
      </w:pPr>
      <w:r>
        <w:drawing>
          <wp:inline xmlns:a="http://schemas.openxmlformats.org/drawingml/2006/main" xmlns:pic="http://schemas.openxmlformats.org/drawingml/2006/picture">
            <wp:extent cx="5486400" cy="666291"/>
            <wp:docPr id="3" name="Picture 3"/>
            <wp:cNvGraphicFramePr>
              <a:graphicFrameLocks noChangeAspect="1"/>
            </wp:cNvGraphicFramePr>
            <a:graphic>
              <a:graphicData uri="http://schemas.openxmlformats.org/drawingml/2006/picture">
                <pic:pic>
                  <pic:nvPicPr>
                    <pic:cNvPr id="0" name="fig6_confusion.png"/>
                    <pic:cNvPicPr/>
                  </pic:nvPicPr>
                  <pic:blipFill>
                    <a:blip r:embed="rId11"/>
                    <a:stretch>
                      <a:fillRect/>
                    </a:stretch>
                  </pic:blipFill>
                  <pic:spPr>
                    <a:xfrm>
                      <a:off x="0" y="0"/>
                      <a:ext cx="5486400" cy="666291"/>
                    </a:xfrm>
                    <a:prstGeom prst="rect"/>
                  </pic:spPr>
                </pic:pic>
              </a:graphicData>
            </a:graphic>
          </wp:inline>
        </w:drawing>
      </w:r>
    </w:p>
    <w:p>
      <w:pPr>
        <w:jc w:val="center"/>
      </w:pPr>
      <w:r>
        <w:rPr>
          <w:i/>
          <w:sz w:val="20"/>
        </w:rPr>
        <w:t>Figure 3. Subject-level confusion matrices for all ten models (n = 121 subjects; Control = typically developing, ADHD = attention-deficit/hyperactivity disorder). Counts reproduce the sensitivity and specificity values reported in Table 3 -- for example, EEGNet's 43 true-negative and 53 true-positive counts correspond to its specificity of 0.717 and sensitivity of 0.869, and CNN+GNB's 59 true-positive versus 7 true-negative counts illustrate the strong bias toward the ADHD class discussed above.</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r>
        <w:t>Figure 4 shows these balanced-accuracy point estimates and 95% confidence intervals for all ten models side by side, visually confirming the overlap described above.</w:t>
      </w:r>
    </w:p>
    <w:p>
      <w:pPr>
        <w:jc w:val="center"/>
      </w:pPr>
      <w:r>
        <w:drawing>
          <wp:inline xmlns:a="http://schemas.openxmlformats.org/drawingml/2006/main" xmlns:pic="http://schemas.openxmlformats.org/drawingml/2006/picture">
            <wp:extent cx="5486400" cy="2818504"/>
            <wp:docPr id="4" name="Picture 4"/>
            <wp:cNvGraphicFramePr>
              <a:graphicFrameLocks noChangeAspect="1"/>
            </wp:cNvGraphicFramePr>
            <a:graphic>
              <a:graphicData uri="http://schemas.openxmlformats.org/drawingml/2006/picture">
                <pic:pic>
                  <pic:nvPicPr>
                    <pic:cNvPr id="0" name="fig4_model_comparison_balanced_accuracy.png"/>
                    <pic:cNvPicPr/>
                  </pic:nvPicPr>
                  <pic:blipFill>
                    <a:blip r:embed="rId12"/>
                    <a:stretch>
                      <a:fillRect/>
                    </a:stretch>
                  </pic:blipFill>
                  <pic:spPr>
                    <a:xfrm>
                      <a:off x="0" y="0"/>
                      <a:ext cx="5486400" cy="2818504"/>
                    </a:xfrm>
                    <a:prstGeom prst="rect"/>
                  </pic:spPr>
                </pic:pic>
              </a:graphicData>
            </a:graphic>
          </wp:inline>
        </w:drawing>
      </w:r>
    </w:p>
    <w:p>
      <w:pPr>
        <w:jc w:val="center"/>
      </w:pPr>
      <w:r>
        <w:rPr>
          <w:i/>
          <w:sz w:val="20"/>
        </w:rPr>
        <w:t>Figure 4. Subject-level balanced accuracy with 95% bootstrap confidence intervals (2000 resamples) for all ten models at the native 128 Hz condition, corresponding to Table 4. EEGNet and ShallowConvNet's intervals lie clearly above DeepConvNet's and the plain CNN's, while the CNN-derived hybrid classifiers (CNN+LR, CNN+NLSVM, CNN+KNN, CNN+RF, CNN+LinearSVM) occupy an intermediate range with substantial mutual interval overlap.</w:t>
      </w:r>
    </w:p>
    <w:p>
      <w:pPr>
        <w:pStyle w:val="Heading2"/>
      </w:pPr>
      <w:r>
        <w:t>4.6 Statistical comparison between models</w:t>
      </w:r>
    </w:p>
    <w:p>
      <w:r>
        <w:t>Table 5 reports the pre-specified subject-level paired comparisons against the plain CNN at 128 Hz as the reference model (Section 3.17): one paired observation per subject (n = 121), a paired bootstrap and a paired permutation test, both Holm-corrected within this 11-comparison family.</w:t>
      </w:r>
    </w:p>
    <w:p>
      <w:r>
        <w:rPr>
          <w:b/>
        </w:rPr>
        <w:t>Table 5. Subject-level paired balanced-accuracy comparisons against CNN|128 Hz (n = 121 subjects; paired bootstrap and paired permutation test,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 (bootstrap, Holm)</w:t>
            </w:r>
          </w:p>
        </w:tc>
        <w:tc>
          <w:tcPr>
            <w:tcW w:type="dxa" w:w="1728"/>
          </w:tcPr>
          <w:p>
            <w:r>
              <w:rPr>
                <w:b/>
              </w:rPr>
            </w:r>
            <w:r>
              <w:rPr>
                <w:b/>
              </w:rPr>
              <w:t>p (permutation, Holm)</w:t>
            </w:r>
          </w:p>
        </w:tc>
      </w:tr>
      <w:tr>
        <w:tc>
          <w:tcPr>
            <w:tcW w:type="dxa" w:w="1728"/>
          </w:tcPr>
          <w:p>
            <w:r/>
            <w:r>
              <w:t>CNN vs. EEGNet</w:t>
            </w:r>
          </w:p>
        </w:tc>
        <w:tc>
          <w:tcPr>
            <w:tcW w:type="dxa" w:w="1728"/>
          </w:tcPr>
          <w:p>
            <w:r/>
            <w:r>
              <w:t>+0.246</w:t>
            </w:r>
          </w:p>
        </w:tc>
        <w:tc>
          <w:tcPr>
            <w:tcW w:type="dxa" w:w="1728"/>
          </w:tcPr>
          <w:p>
            <w:r/>
            <w:r>
              <w:t>(0.126, 0.362)</w:t>
            </w:r>
          </w:p>
        </w:tc>
        <w:tc>
          <w:tcPr>
            <w:tcW w:type="dxa" w:w="1728"/>
          </w:tcPr>
          <w:p>
            <w:r/>
            <w:r>
              <w:t>&lt;0.0001</w:t>
            </w:r>
          </w:p>
        </w:tc>
        <w:tc>
          <w:tcPr>
            <w:tcW w:type="dxa" w:w="1728"/>
          </w:tcPr>
          <w:p>
            <w:r/>
            <w:r>
              <w:t>0.0016</w:t>
            </w:r>
          </w:p>
        </w:tc>
      </w:tr>
      <w:tr>
        <w:tc>
          <w:tcPr>
            <w:tcW w:type="dxa" w:w="1728"/>
          </w:tcPr>
          <w:p>
            <w:r/>
            <w:r>
              <w:t>CNN vs. CNN+LR</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CNN+LR_noCORAL</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ShallowConvNet</w:t>
            </w:r>
          </w:p>
        </w:tc>
        <w:tc>
          <w:tcPr>
            <w:tcW w:type="dxa" w:w="1728"/>
          </w:tcPr>
          <w:p>
            <w:r/>
            <w:r>
              <w:t>+0.190</w:t>
            </w:r>
          </w:p>
        </w:tc>
        <w:tc>
          <w:tcPr>
            <w:tcW w:type="dxa" w:w="1728"/>
          </w:tcPr>
          <w:p>
            <w:r/>
            <w:r>
              <w:t>(0.075, 0.303)</w:t>
            </w:r>
          </w:p>
        </w:tc>
        <w:tc>
          <w:tcPr>
            <w:tcW w:type="dxa" w:w="1728"/>
          </w:tcPr>
          <w:p>
            <w:r/>
            <w:r>
              <w:t>0.0110</w:t>
            </w:r>
          </w:p>
        </w:tc>
        <w:tc>
          <w:tcPr>
            <w:tcW w:type="dxa" w:w="1728"/>
          </w:tcPr>
          <w:p>
            <w:r/>
            <w:r>
              <w:t>0.0140</w:t>
            </w:r>
          </w:p>
        </w:tc>
      </w:tr>
      <w:tr>
        <w:tc>
          <w:tcPr>
            <w:tcW w:type="dxa" w:w="1728"/>
          </w:tcPr>
          <w:p>
            <w:r/>
            <w:r>
              <w:t>CNN vs. CNN+LR_withCORAL</w:t>
            </w:r>
          </w:p>
        </w:tc>
        <w:tc>
          <w:tcPr>
            <w:tcW w:type="dxa" w:w="1728"/>
          </w:tcPr>
          <w:p>
            <w:r/>
            <w:r>
              <w:t>+0.188</w:t>
            </w:r>
          </w:p>
        </w:tc>
        <w:tc>
          <w:tcPr>
            <w:tcW w:type="dxa" w:w="1728"/>
          </w:tcPr>
          <w:p>
            <w:r/>
            <w:r>
              <w:t>(0.068, 0.304)</w:t>
            </w:r>
          </w:p>
        </w:tc>
        <w:tc>
          <w:tcPr>
            <w:tcW w:type="dxa" w:w="1728"/>
          </w:tcPr>
          <w:p>
            <w:r/>
            <w:r>
              <w:t>0.0133</w:t>
            </w:r>
          </w:p>
        </w:tc>
        <w:tc>
          <w:tcPr>
            <w:tcW w:type="dxa" w:w="1728"/>
          </w:tcPr>
          <w:p>
            <w:r/>
            <w:r>
              <w:t>0.0242</w:t>
            </w:r>
          </w:p>
        </w:tc>
      </w:tr>
      <w:tr>
        <w:tc>
          <w:tcPr>
            <w:tcW w:type="dxa" w:w="1728"/>
          </w:tcPr>
          <w:p>
            <w:r/>
            <w:r>
              <w:t>CNN vs. CNN+KNN</w:t>
            </w:r>
          </w:p>
        </w:tc>
        <w:tc>
          <w:tcPr>
            <w:tcW w:type="dxa" w:w="1728"/>
          </w:tcPr>
          <w:p>
            <w:r/>
            <w:r>
              <w:t>+0.129</w:t>
            </w:r>
          </w:p>
        </w:tc>
        <w:tc>
          <w:tcPr>
            <w:tcW w:type="dxa" w:w="1728"/>
          </w:tcPr>
          <w:p>
            <w:r/>
            <w:r>
              <w:t>(0.018, 0.236)</w:t>
            </w:r>
          </w:p>
        </w:tc>
        <w:tc>
          <w:tcPr>
            <w:tcW w:type="dxa" w:w="1728"/>
          </w:tcPr>
          <w:p>
            <w:r/>
            <w:r>
              <w:t>0.1284</w:t>
            </w:r>
          </w:p>
        </w:tc>
        <w:tc>
          <w:tcPr>
            <w:tcW w:type="dxa" w:w="1728"/>
          </w:tcPr>
          <w:p>
            <w:r/>
            <w:r>
              <w:t>0.3240</w:t>
            </w:r>
          </w:p>
        </w:tc>
      </w:tr>
      <w:tr>
        <w:tc>
          <w:tcPr>
            <w:tcW w:type="dxa" w:w="1728"/>
          </w:tcPr>
          <w:p>
            <w:r/>
            <w:r>
              <w:t>CNN vs. CNN+NLSVM</w:t>
            </w:r>
          </w:p>
        </w:tc>
        <w:tc>
          <w:tcPr>
            <w:tcW w:type="dxa" w:w="1728"/>
          </w:tcPr>
          <w:p>
            <w:r/>
            <w:r>
              <w:t>+0.130</w:t>
            </w:r>
          </w:p>
        </w:tc>
        <w:tc>
          <w:tcPr>
            <w:tcW w:type="dxa" w:w="1728"/>
          </w:tcPr>
          <w:p>
            <w:r/>
            <w:r>
              <w:t>(0.016, 0.239)</w:t>
            </w:r>
          </w:p>
        </w:tc>
        <w:tc>
          <w:tcPr>
            <w:tcW w:type="dxa" w:w="1728"/>
          </w:tcPr>
          <w:p>
            <w:r/>
            <w:r>
              <w:t>0.1284</w:t>
            </w:r>
          </w:p>
        </w:tc>
        <w:tc>
          <w:tcPr>
            <w:tcW w:type="dxa" w:w="1728"/>
          </w:tcPr>
          <w:p>
            <w:r/>
            <w:r>
              <w:t>0.3240</w:t>
            </w:r>
          </w:p>
        </w:tc>
      </w:tr>
      <w:tr>
        <w:tc>
          <w:tcPr>
            <w:tcW w:type="dxa" w:w="1728"/>
          </w:tcPr>
          <w:p>
            <w:r/>
            <w:r>
              <w:t>CNN vs. CNN+RF</w:t>
            </w:r>
          </w:p>
        </w:tc>
        <w:tc>
          <w:tcPr>
            <w:tcW w:type="dxa" w:w="1728"/>
          </w:tcPr>
          <w:p>
            <w:r/>
            <w:r>
              <w:t>+0.113</w:t>
            </w:r>
          </w:p>
        </w:tc>
        <w:tc>
          <w:tcPr>
            <w:tcW w:type="dxa" w:w="1728"/>
          </w:tcPr>
          <w:p>
            <w:r/>
            <w:r>
              <w:t>(−0.001, 0.224)</w:t>
            </w:r>
          </w:p>
        </w:tc>
        <w:tc>
          <w:tcPr>
            <w:tcW w:type="dxa" w:w="1728"/>
          </w:tcPr>
          <w:p>
            <w:r/>
            <w:r>
              <w:t>0.2080</w:t>
            </w:r>
          </w:p>
        </w:tc>
        <w:tc>
          <w:tcPr>
            <w:tcW w:type="dxa" w:w="1728"/>
          </w:tcPr>
          <w:p>
            <w:r/>
            <w:r>
              <w:t>0.3876</w:t>
            </w:r>
          </w:p>
        </w:tc>
      </w:tr>
      <w:tr>
        <w:tc>
          <w:tcPr>
            <w:tcW w:type="dxa" w:w="1728"/>
          </w:tcPr>
          <w:p>
            <w:r/>
            <w:r>
              <w:t>CNN vs. CNN+LinearSVM</w:t>
            </w:r>
          </w:p>
        </w:tc>
        <w:tc>
          <w:tcPr>
            <w:tcW w:type="dxa" w:w="1728"/>
          </w:tcPr>
          <w:p>
            <w:r/>
            <w:r>
              <w:t>+0.096</w:t>
            </w:r>
          </w:p>
        </w:tc>
        <w:tc>
          <w:tcPr>
            <w:tcW w:type="dxa" w:w="1728"/>
          </w:tcPr>
          <w:p>
            <w:r/>
            <w:r>
              <w:t>(−0.019, 0.209)</w:t>
            </w:r>
          </w:p>
        </w:tc>
        <w:tc>
          <w:tcPr>
            <w:tcW w:type="dxa" w:w="1728"/>
          </w:tcPr>
          <w:p>
            <w:r/>
            <w:r>
              <w:t>0.3021</w:t>
            </w:r>
          </w:p>
        </w:tc>
        <w:tc>
          <w:tcPr>
            <w:tcW w:type="dxa" w:w="1728"/>
          </w:tcPr>
          <w:p>
            <w:r/>
            <w:r>
              <w:t>0.5253</w:t>
            </w:r>
          </w:p>
        </w:tc>
      </w:tr>
      <w:tr>
        <w:tc>
          <w:tcPr>
            <w:tcW w:type="dxa" w:w="1728"/>
          </w:tcPr>
          <w:p>
            <w:r/>
            <w:r>
              <w:t>CNN vs. DeepConvNet</w:t>
            </w:r>
          </w:p>
        </w:tc>
        <w:tc>
          <w:tcPr>
            <w:tcW w:type="dxa" w:w="1728"/>
          </w:tcPr>
          <w:p>
            <w:r/>
            <w:r>
              <w:t>+0.042</w:t>
            </w:r>
          </w:p>
        </w:tc>
        <w:tc>
          <w:tcPr>
            <w:tcW w:type="dxa" w:w="1728"/>
          </w:tcPr>
          <w:p>
            <w:r/>
            <w:r>
              <w:t>(−0.069, 0.150)</w:t>
            </w:r>
          </w:p>
        </w:tc>
        <w:tc>
          <w:tcPr>
            <w:tcW w:type="dxa" w:w="1728"/>
          </w:tcPr>
          <w:p>
            <w:r/>
            <w:r>
              <w:t>0.9082</w:t>
            </w:r>
          </w:p>
        </w:tc>
        <w:tc>
          <w:tcPr>
            <w:tcW w:type="dxa" w:w="1728"/>
          </w:tcPr>
          <w:p>
            <w:r/>
            <w:r>
              <w:t>0.7734</w:t>
            </w:r>
          </w:p>
        </w:tc>
      </w:tr>
      <w:tr>
        <w:tc>
          <w:tcPr>
            <w:tcW w:type="dxa" w:w="1728"/>
          </w:tcPr>
          <w:p>
            <w:r/>
            <w:r>
              <w:t>CNN vs. CNN+GNB</w:t>
            </w:r>
          </w:p>
        </w:tc>
        <w:tc>
          <w:tcPr>
            <w:tcW w:type="dxa" w:w="1728"/>
          </w:tcPr>
          <w:p>
            <w:r/>
            <w:r>
              <w:t>−0.005</w:t>
            </w:r>
          </w:p>
        </w:tc>
        <w:tc>
          <w:tcPr>
            <w:tcW w:type="dxa" w:w="1728"/>
          </w:tcPr>
          <w:p>
            <w:r/>
            <w:r>
              <w:t>(−0.096, 0.083)</w:t>
            </w:r>
          </w:p>
        </w:tc>
        <w:tc>
          <w:tcPr>
            <w:tcW w:type="dxa" w:w="1728"/>
          </w:tcPr>
          <w:p>
            <w:r/>
            <w:r>
              <w:t>0.9085</w:t>
            </w:r>
          </w:p>
        </w:tc>
        <w:tc>
          <w:tcPr>
            <w:tcW w:type="dxa" w:w="1728"/>
          </w:tcPr>
          <w:p>
            <w:r/>
            <w:r>
              <w:t>0.9023</w:t>
            </w:r>
          </w:p>
        </w:tc>
      </w:tr>
    </w:tbl>
    <w:p/>
    <w:p>
      <w:r>
        <w:rPr>
          <w:i/>
        </w:rPr>
        <w:t>Source: TABLE_5_MODEL_COMPARISON_STATISTICS.csv, generated by `src/subject_level_paired_test.py` from `results_final/predictions/all_predictions.csv` (20,000 bootstrap resamples, 20,000 permutations, seed 12345). Mean diff. and CI are from the bootstrap distribution.</w:t>
      </w:r>
    </w:p>
    <w:p>
      <w:r>
        <w:t xml:space="preserve">After Holm correction, four comparisons remain statistically significant by both the bootstrap and the permutation test: EEGNet, ShallowConvNet, and the CNN-plus-logistic-regression classifier in both its CORAL configurations (CNN+LR/CNN+LR_noCORAL and CNN+LR_withCORAL are numerically identical to each other, as noted in Section 3.18, so these two rows reflect one classifier evaluated with and without CORAL alignment rather than two independent classifiers). Counting distinct classifiers rather than table rows, three configurations show a confirmed advantage over the plain CNN — EEGNet, ShallowConvNet, and CNN+LR (with or without CORAL) — while CNN+KNN, CNN+NLSVM, CNN+RF, CNN+LinearSVM, DeepConvNet, and CNN+GNB do </w:t>
      </w:r>
      <w:r>
        <w:rPr>
          <w:b/>
        </w:rPr>
        <w:t>not</w:t>
      </w:r>
      <w:r>
        <w:t xml:space="preserve"> reach significance after correction under this subject-level test, despite several of them (KNN, NLSVM, RF) having reached nominal significance under the repeated-fold Wilcoxon procedure described in Section 3.17 — a direct illustration of why that procedure was not retained as the primary test. We report this as a genuine, and in part negative, finding: only EEGNet, ShallowConvNet, and the CNN+LR configuration show a subject-level balanced-accuracy advantage over the plain CNN that survives a statistically defensible test and multiplicity correction; the apparent advantage of the remaining hybrid classifiers over the plain CNN, while numerically present in Table 3, is not distinguishable from sampling variability at this sample size (n = 121 subjects) once fold-level pseudo-replication is removed. DeepConvNet does not differ significantly from the plain CNN under either test (bootstrap p = 0.908; mean difference +0.042, the smallest positive difference of any comparison in this table other than CNN+GNB's negative one).</w:t>
      </w:r>
    </w:p>
    <w:p>
      <w:r>
        <w:t>Figure 5 shows the distribution of balanced accuracy across the 25 per-(repetition, outer-fold) estimates for each model, at the native 128 Hz condition. This distribution is reported descriptively, to illustrate fold-to-fold variability under repeated cross-validation; because the underlying 121 subjects are reused across repetitions (Section 3.17), the 25 points per model are not treated as 25 independent observations, and are not the basis of the significance tests reported in Table 5.</w:t>
      </w:r>
    </w:p>
    <w:p>
      <w:pPr>
        <w:jc w:val="center"/>
      </w:pPr>
      <w:r>
        <w:drawing>
          <wp:inline xmlns:a="http://schemas.openxmlformats.org/drawingml/2006/main" xmlns:pic="http://schemas.openxmlformats.org/drawingml/2006/picture">
            <wp:extent cx="5486400" cy="3399743"/>
            <wp:docPr id="5" name="Picture 5"/>
            <wp:cNvGraphicFramePr>
              <a:graphicFrameLocks noChangeAspect="1"/>
            </wp:cNvGraphicFramePr>
            <a:graphic>
              <a:graphicData uri="http://schemas.openxmlformats.org/drawingml/2006/picture">
                <pic:pic>
                  <pic:nvPicPr>
                    <pic:cNvPr id="0" name="fig7_repeated_cv_distribution_balanced_accuracy.png"/>
                    <pic:cNvPicPr/>
                  </pic:nvPicPr>
                  <pic:blipFill>
                    <a:blip r:embed="rId13"/>
                    <a:stretch>
                      <a:fillRect/>
                    </a:stretch>
                  </pic:blipFill>
                  <pic:spPr>
                    <a:xfrm>
                      <a:off x="0" y="0"/>
                      <a:ext cx="5486400" cy="3399743"/>
                    </a:xfrm>
                    <a:prstGeom prst="rect"/>
                  </pic:spPr>
                </pic:pic>
              </a:graphicData>
            </a:graphic>
          </wp:inline>
        </w:drawing>
      </w:r>
    </w:p>
    <w:p>
      <w:pPr>
        <w:jc w:val="center"/>
      </w:pPr>
      <w:r>
        <w:rPr>
          <w:i/>
          <w:sz w:val="20"/>
        </w:rPr>
        <w:t>Figure 5. Distribution of balanced accuracy across the 25 per-(repetition, outer-fold) estimates (5 outer folds x 5 repetitions; Section 3.13) for each model, at the native 128 Hz condition, shown descriptively to illustrate fold-to-fold variability. Boxes show the interquartile range and median (orange line); green triangles mark the mean. Because these 25 estimates per model reuse the same 121 subjects across repetitions, they are not independent observations and are not the basis of Table 5's subject-level significance tests (Section 3.17); the wide spread shown here nonetheless illustrates why a single held-out point estimate would be an unreliable summary of any one model's performance.</w:t>
      </w:r>
    </w:p>
    <w:p>
      <w:pPr>
        <w:pStyle w:val="Heading2"/>
      </w:pPr>
      <w:r>
        <w:t>4.7 CORAL domain-adaptation analysis</w:t>
      </w:r>
    </w:p>
    <w:p>
      <w:r>
        <w:t>CORAL-aligned features (CNN+LR_withCORAL, balanced accuracy 0.735, 95% CI 0.651–0.816) did not outperform the unaligned features (CNN+LR / CNN+LR_noCORAL, balanced accuracy 0.743, 95% CI 0.662–0.819);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Figure 6 shows the covariance-distance reduction achieved by CORAL alignment (left panel) alongside the resulting per-outer-fold accuracy distributions with and without alignment (right panel): the covariance distance between outer-train and outer-test feature distributions drops sharply and consistently after alignment, confirming the alignment step itself worked as intended, while the downstream accuracy distributions remain essentially overlapping — the mechanism did what it was designed to do without translating into a detectable classification benefit in this setting, a dissociation discussed further in Section 5.7.</w:t>
      </w:r>
    </w:p>
    <w:p>
      <w:pPr>
        <w:jc w:val="center"/>
      </w:pPr>
      <w:r>
        <w:drawing>
          <wp:inline xmlns:a="http://schemas.openxmlformats.org/drawingml/2006/main" xmlns:pic="http://schemas.openxmlformats.org/drawingml/2006/picture">
            <wp:extent cx="5486400" cy="2442037"/>
            <wp:docPr id="6" name="Picture 6"/>
            <wp:cNvGraphicFramePr>
              <a:graphicFrameLocks noChangeAspect="1"/>
            </wp:cNvGraphicFramePr>
            <a:graphic>
              <a:graphicData uri="http://schemas.openxmlformats.org/drawingml/2006/picture">
                <pic:pic>
                  <pic:nvPicPr>
                    <pic:cNvPr id="0" name="fig10_coral_covariance.png"/>
                    <pic:cNvPicPr/>
                  </pic:nvPicPr>
                  <pic:blipFill>
                    <a:blip r:embed="rId14"/>
                    <a:stretch>
                      <a:fillRect/>
                    </a:stretch>
                  </pic:blipFill>
                  <pic:spPr>
                    <a:xfrm>
                      <a:off x="0" y="0"/>
                      <a:ext cx="5486400" cy="2442037"/>
                    </a:xfrm>
                    <a:prstGeom prst="rect"/>
                  </pic:spPr>
                </pic:pic>
              </a:graphicData>
            </a:graphic>
          </wp:inline>
        </w:drawing>
      </w:r>
    </w:p>
    <w:p>
      <w:pPr>
        <w:jc w:val="center"/>
      </w:pPr>
      <w:r>
        <w:rPr>
          <w:i/>
          <w:sz w:val="20"/>
        </w:rPr>
        <w:t>Figure 6. CORAL domain adaptation. Left: covariance distance (Frobenius norm) between outer-train and outer-test CNN feature distributions before and after CORAL alignment, pooled across all outer folds and repetitions -- alignment reduces this distance sharply and consistently. Right: per-outer-fold epoch-level accuracy of the downstream logistic-regression classifier without versus with CORAL alignment, showing near-identical distributions despite the large reduction in covariance distance on the left.</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t>Figure 7 shows the full distribution underlying these comparisons for CNN (panel a) and EEGNet (panel b) separately.</w:t>
      </w:r>
    </w:p>
    <w:p>
      <w:pPr>
        <w:jc w:val="center"/>
      </w:pPr>
      <w:r>
        <w:drawing>
          <wp:inline xmlns:a="http://schemas.openxmlformats.org/drawingml/2006/main" xmlns:pic="http://schemas.openxmlformats.org/drawingml/2006/picture">
            <wp:extent cx="5486400" cy="3751471"/>
            <wp:docPr id="7" name="Picture 7"/>
            <wp:cNvGraphicFramePr>
              <a:graphicFrameLocks noChangeAspect="1"/>
            </wp:cNvGraphicFramePr>
            <a:graphic>
              <a:graphicData uri="http://schemas.openxmlformats.org/drawingml/2006/picture">
                <pic:pic>
                  <pic:nvPicPr>
                    <pic:cNvPr id="0" name="fig8_resolution.png"/>
                    <pic:cNvPicPr/>
                  </pic:nvPicPr>
                  <pic:blipFill>
                    <a:blip r:embed="rId15"/>
                    <a:stretch>
                      <a:fillRect/>
                    </a:stretch>
                  </pic:blipFill>
                  <pic:spPr>
                    <a:xfrm>
                      <a:off x="0" y="0"/>
                      <a:ext cx="5486400" cy="3751471"/>
                    </a:xfrm>
                    <a:prstGeom prst="rect"/>
                  </pic:spPr>
                </pic:pic>
              </a:graphicData>
            </a:graphic>
          </wp:inline>
        </w:drawing>
      </w:r>
    </w:p>
    <w:p>
      <w:pPr>
        <w:jc w:val="center"/>
      </w:pPr>
      <w:r>
        <w:rPr>
          <w:i/>
          <w:sz w:val="20"/>
        </w:rPr>
        <w:t>Figure 7a. Distribution of balanced accuracy across the 5 paired outer folds for the CNN model, native 128 Hz versus 128-to-512 Hz FFT-interpolated condition. Open circles mark individual fold values (n = 5 per condition, too few to resolve as a conventional box in the 128 Hz condition); the green triangle marks the mean.</w:t>
      </w:r>
    </w:p>
    <w:p>
      <w:pPr>
        <w:jc w:val="center"/>
      </w:pPr>
      <w:r>
        <w:drawing>
          <wp:inline xmlns:a="http://schemas.openxmlformats.org/drawingml/2006/main" xmlns:pic="http://schemas.openxmlformats.org/drawingml/2006/picture">
            <wp:extent cx="5486400" cy="3720777"/>
            <wp:docPr id="8" name="Picture 8"/>
            <wp:cNvGraphicFramePr>
              <a:graphicFrameLocks noChangeAspect="1"/>
            </wp:cNvGraphicFramePr>
            <a:graphic>
              <a:graphicData uri="http://schemas.openxmlformats.org/drawingml/2006/picture">
                <pic:pic>
                  <pic:nvPicPr>
                    <pic:cNvPr id="0" name="fig8_resolution_EEGNet.png"/>
                    <pic:cNvPicPr/>
                  </pic:nvPicPr>
                  <pic:blipFill>
                    <a:blip r:embed="rId16"/>
                    <a:stretch>
                      <a:fillRect/>
                    </a:stretch>
                  </pic:blipFill>
                  <pic:spPr>
                    <a:xfrm>
                      <a:off x="0" y="0"/>
                      <a:ext cx="5486400" cy="3720777"/>
                    </a:xfrm>
                    <a:prstGeom prst="rect"/>
                  </pic:spPr>
                </pic:pic>
              </a:graphicData>
            </a:graphic>
          </wp:inline>
        </w:drawing>
      </w:r>
    </w:p>
    <w:p>
      <w:pPr>
        <w:jc w:val="center"/>
      </w:pPr>
      <w:r>
        <w:rPr>
          <w:i/>
          <w:sz w:val="20"/>
        </w:rPr>
        <w:t>Figure 7b. Distribution of balanced accuracy across the 5 paired outer folds for the EEGNet model, native 128 Hz versus 128-to-512 Hz FFT-interpolated condition, plotted on the same scale convention as panel a.</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achieve numerically higher balanced accuracy. Under a subject-level paired statistical test (Section 3.17), however, only three of these configurations — EEGNet, ShallowConvNet, and the CNN-plus-logistic-regression classifier — show an advantage over the plain CNN that survives correction for multiple comparisons; the remaining hybrid classifiers' higher point estimates, and DeepConvNet's, are not statistically distinguishable from sampling variability at this sample size. This pattern — a weak base architecture rescued by a downstream classical classifier in at least one case, matched or exceeded by an architecture (EEGNet) designed specifically for EEG rather than borrowed from a generic image-classification convolutional template, and only partially confirmed once repeated-fold pseudo-replication is removed from the significance test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Because both the epoch-level and subject-level results reported here use subject-grouped partitions, their difference cannot be used to quantify the effect of subject leakage. A direct estimate would require a separate segment-level evaluation allowing same-subject epochs to cross the train/test boundary, which is outside the scope of what this study set out to measure.</w:t>
      </w:r>
    </w:p>
    <w:p>
      <w:pPr>
        <w:pStyle w:val="Heading2"/>
      </w:pPr>
      <w:r>
        <w:t>5.3 CNN versus classical hybrid classifiers</w:t>
      </w:r>
    </w:p>
    <w:p>
      <w:r>
        <w:t>The gap between the plain CNN (balanced accuracy 0.547) and the same CNN's features routed through logistic regression (0.743, a statistically significant advantage under the subject-level test in Section 4.6) is consistent with the CNN's own final dense-and-sigmoid classification head not extracting all of the discriminative information present in its own penultimate-layer representation — since a linear classifier fit on that exact representation recovers more of it. The other CNN-derived classical classifiers (e.g. an RBF support vector machine, balanced accuracy 0.676) show a numerically similar pattern, though their individual advantage over the plain CNN did not reach significance after correction (Section 4.6), so this explanation is best treated as most directly supported by the logistic-regression comparison specifically.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Correlation among repeated-CV estimates.</w:t>
      </w:r>
      <w:r>
        <w:t xml:space="preserve"> The 25 per-(repetition, outer-fold) balanced-accuracy values produced by the repeated-CV design (5 repetitions × 5 outer folds) reuse the same 121 subjects across repetitions and are therefore correlated, not independent; Section 3.17 explains why the primary model comparisons in Table 5 use a subject-level paired bootstrap and permutation test (one observation per subject, n = 121) rather than treating these 25 values as independent replicates. Figure 5 still reports the repeated-fold distribution, but descriptively, to show fold-to-fold variability, not as the basis for inference.</w:t>
      </w:r>
    </w:p>
    <w:p>
      <w:r>
        <w:rPr>
          <w:b/>
        </w:rPr>
        <w:t>Limitations of the inferential procedure itself.</w:t>
      </w:r>
      <w:r>
        <w:t xml:space="preserve"> The subject-level bootstrap and permutation tests used here assume the 121 subjects are themselves a representative, independently sampled cohort from the population the study intends to generalize to; violations of that assumption (e.g., unmeasured site- or recruitment-related clustering within the dataset) would not be detected by either test. Both tests are also comparisons of point predictions (thresholded at 0.5) rather than of the full predicted-probability distributions, and neither test can distinguish a true absence of a population-level difference from a difference too small to detect at n = 121.</w:t>
      </w:r>
    </w:p>
    <w:p>
      <w:r>
        <w:rPr>
          <w:b/>
        </w:rPr>
        <w:t>Transductive nature of CORAL.</w:t>
      </w:r>
      <w:r>
        <w:t xml:space="preserve"> As stated in Section 3.18, the CORAL analysis (CNN+LR_withCORAL) computes its target covariance from the outer-test subjects' own unlabelled features before evaluating on those same subjects; this is a transductive, unsupervised domain-adaptation setting, not the fully inductive subject-independent evaluation used for every other model in this study, and the two should not be read as subject to identical generalization guarantees.</w:t>
      </w:r>
    </w:p>
    <w:p>
      <w:r>
        <w:rPr>
          <w:b/>
        </w:rPr>
        <w:t>Limited scope of the resolution-sensitivity experiment.</w:t>
      </w:r>
      <w:r>
        <w:t xml:space="preserve"> The 128-to-512 Hz interpolation comparison (Section 3.19, Section 4.8) was run for only two architectures (the plain CNN and EEGNet), using a single repetition (5 outer folds, not the full repeated design), and using one specific interpolation procedure (FFT-based polyphase resampling). Its null result should not be extrapolated to the other nine models evaluated in this study, to a different interpolation method, or beyond the specific comparison tested.</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 statistically defensible subject-level comparison procedure,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one classical classifier trained on that CNN's own extracted features, logistic regression, recovers substantially more discriminative signal (0.743) and does so with a subject-level paired advantage over the plain CNN that survives correction for multiple comparisons, while the remaining classical classifiers show a numerically higher but not statistically confirmed advantage; and EEGNet and ShallowConvNet — architectures designed specifically for EEG rather than adapted from a generic convolutional template — both show a confirmed subject-level advantage over the plain CNN (balanced accuracy 0.793 and 0.737 respectively), with EEGNet outperforming every configuration tested here, while DeepConvNet shows a higher point estimate than the plain CNN (0.589 versus 0.547) but no statistically confirmed advantage.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paired with a statistically defensible subject-level comparison procedure,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r>
        <w:rPr>
          <w:b/>
        </w:rPr>
        <w:t>Original training run.</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`PENDING_FINAL_COMMIT_HASH` (the commit that froze this manuscript revision together with `results_final/predictions/all_predictions.csv` and `manuscript/TABLES/`)</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4 inner folds, 5 repetitions, seeds [42, 43, 44, 45, 46] (each repetition's 5 outer folds use a fold-level seed derived from its repetition seed, e.g. 42000–42004 for repetition 42; see Section 3.12–3.13 and `results_final/predictions/all_predictions.csv`'s `seed` column).</w:t>
      </w:r>
    </w:p>
    <w:p>
      <w:pPr>
        <w:pStyle w:val="ListBullet"/>
      </w:pPr>
      <w:r>
        <w:rPr>
          <w:b/>
        </w:rPr>
        <w:t>Training configuration</w:t>
      </w:r>
      <w:r>
        <w:t>: Adam optimizer, learning rate 1×10⁻⁴, batch size 16, maximum 100 training epochs, early-stopping patience 8 epochs (monitored on inner-validation loss); 2000 resamples for the subject-level bootstrap confidence intervals in Table 4.</w:t>
      </w:r>
    </w:p>
    <w:p>
      <w:pPr>
        <w:pStyle w:val="ListBullet"/>
      </w:pPr>
      <w:r>
        <w:rPr>
          <w:b/>
        </w:rPr>
        <w:t>Software/hardware</w:t>
      </w:r>
      <w:r>
        <w:t>: TensorFlow/Keras and scikit-learn, run on a cloud GPU instance (NVIDIA Tesla T4); CUDA/cuDNN versions not captured. The exact package version numbers (TensorFlow, scikit-learn, NumPy, SciPy, Python) actually used for this run were not recorded at run time; this project's dependency file pins `tensorflow==2.21.0`, but the run used a cloud notebook environment's preinstalled build rather than this pinned version, and the two are not confirmed identical. This is a genuine reproducibility gap, stated here rather than papered over with an unverified version number.</w:t>
      </w:r>
    </w:p>
    <w:p>
      <w:pPr>
        <w:pStyle w:val="ListBullet"/>
      </w:pPr>
      <w:r>
        <w:rPr>
          <w:b/>
        </w:rPr>
        <w:t>Determinism</w:t>
      </w:r>
      <w:r>
        <w:t>: CPU execution is deterministic under the stated seeds; GPU execution may show small run-to-run variation in some non-deterministic convolution kernels.</w:t>
      </w:r>
    </w:p>
    <w:p>
      <w:r>
        <w:rPr>
          <w:b/>
        </w:rPr>
        <w:t>Verification environment (this audit).</w:t>
      </w:r>
      <w:r>
        <w:t xml:space="preserve"> All numbers in Section 4 were independently re-derived from the raw prediction-level file `results_final/predictions/all_predictions.csv` (34,544 rows: one row per epoch × model × preprocessing-condition × repetition) using the environment below; this environment was used only to recompute metrics and run the statistical tests below from already-saved predictions, not to retrain any model.</w:t>
      </w:r>
    </w:p>
    <w:p>
      <w:pPr>
        <w:pStyle w:val="ListBullet"/>
      </w:pPr>
      <w:r>
        <w:rPr>
          <w:b/>
        </w:rPr>
        <w:t>Python</w:t>
      </w:r>
      <w:r>
        <w:t>: 3.11.15</w:t>
      </w:r>
    </w:p>
    <w:p>
      <w:pPr>
        <w:pStyle w:val="ListBullet"/>
      </w:pPr>
      <w:r>
        <w:rPr>
          <w:b/>
        </w:rPr>
        <w:t>TensorFlow</w:t>
      </w:r>
      <w:r>
        <w:t>: 2.21.0 (CPU build; not used for training in this verification pass)</w:t>
      </w:r>
    </w:p>
    <w:p>
      <w:pPr>
        <w:pStyle w:val="ListBullet"/>
      </w:pPr>
      <w:r>
        <w:rPr>
          <w:b/>
        </w:rPr>
        <w:t>Keras</w:t>
      </w:r>
      <w:r>
        <w:t>: 3.15.1</w:t>
      </w:r>
    </w:p>
    <w:p>
      <w:pPr>
        <w:pStyle w:val="ListBullet"/>
      </w:pPr>
      <w:r>
        <w:rPr>
          <w:b/>
        </w:rPr>
        <w:t>NumPy</w:t>
      </w:r>
      <w:r>
        <w:t>: 2.4.6</w:t>
      </w:r>
    </w:p>
    <w:p>
      <w:pPr>
        <w:pStyle w:val="ListBullet"/>
      </w:pPr>
      <w:r>
        <w:rPr>
          <w:b/>
        </w:rPr>
        <w:t>SciPy</w:t>
      </w:r>
      <w:r>
        <w:t>: 1.17.1</w:t>
      </w:r>
    </w:p>
    <w:p>
      <w:pPr>
        <w:pStyle w:val="ListBullet"/>
      </w:pPr>
      <w:r>
        <w:rPr>
          <w:b/>
        </w:rPr>
        <w:t>scikit-learn</w:t>
      </w:r>
      <w:r>
        <w:t>: 1.9.0</w:t>
      </w:r>
    </w:p>
    <w:p>
      <w:pPr>
        <w:pStyle w:val="ListBullet"/>
      </w:pPr>
      <w:r>
        <w:rPr>
          <w:b/>
        </w:rPr>
        <w:t>GPU / CUDA / cuDNN</w:t>
      </w:r>
      <w:r>
        <w:t>: none available in this verification environment (CPU only)</w:t>
      </w:r>
    </w:p>
    <w:p>
      <w:pPr>
        <w:pStyle w:val="ListBullet"/>
      </w:pPr>
      <w:r>
        <w:t>Every value in Table 2 and Table 3 was independently recomputed from `all_predictions.csv` and matched the corresponding table to within 1e-5; the subject-to-outer-fold partition was independently checked and confirmed to contain no cross-fold subject splits for any of the 12 models across all 5 repetitions (Section 4.2).</w:t>
      </w:r>
    </w:p>
    <w:p>
      <w:pPr>
        <w:pStyle w:val="ListBullet"/>
      </w:pPr>
      <w:r>
        <w:t>Table 5's subject-level paired bootstrap and permutation test (20,000 resamples / 20,000 permutations, seed 12345) was run with `src/subject_level_paired_test.py`, included in the repository referenced above, reading directly from `all_predictions.csv`.</w:t>
      </w:r>
    </w:p>
    <w:p>
      <w:pPr>
        <w:pStyle w:val="ListBullet"/>
      </w:pPr>
      <w:r>
        <w:t>All code, the automated 14-point leakage audit (`src/sanity_checks.py`), the raw prediction file,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