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Student Placement Data Analysis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Exploratory Data Analysis &amp; Machine Learning Project Report</w:t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60"/>
      </w:pPr>
      <w:r>
        <w:t xml:space="preserve">This project analyzes a dataset of 800 college students to understand the key academic, behavioral, and skill-based factors that influence campus placement outcomes. The workflow covers data generation, exploratory data analysis (EDA), and predictive modeling using machine learning classifiers to predict whether a student will be placed.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 size: 800 students, 18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variable: Placement_Status (Placed / Not Placed)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Additional target: Salary_LPA (for placed students 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Tools used: Python, Pandas, Seaborn/Matplotlib, Scikit-learn</w:t>
      </w:r>
    </w:p>
    <w:p>
      <w:pPr>
        <w:pStyle w:val="Heading1"/>
        <w:spacing w:after="160" w:before="320"/>
      </w:pPr>
      <w:r>
        <w:t xml:space="preserve">2. Dataset Description</w:t>
      </w:r>
    </w:p>
    <w:p>
      <w:pPr>
        <w:spacing w:after="160"/>
      </w:pPr>
      <w:r>
        <w:t xml:space="preserve">The dataset includes the following categories of features: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W w:type="dxa" w:w="4500"/>
          </w:tcPr>
          <w:p>
            <w:r>
              <w:t xml:space="preserve">Academic</w:t>
            </w:r>
          </w:p>
        </w:tc>
        <w:tc>
          <w:tcPr>
            <w:tcW w:type="dxa" w:w="4500"/>
          </w:tcPr>
          <w:p>
            <w:r>
              <w:t xml:space="preserve">SSC_Marks, HSC_Marks, CGPA</w:t>
            </w:r>
          </w:p>
        </w:tc>
      </w:tr>
      <w:tr>
        <w:tc>
          <w:tcPr>
            <w:tcW w:type="dxa" w:w="4500"/>
          </w:tcPr>
          <w:p>
            <w:r>
              <w:t xml:space="preserve">Aptitude</w:t>
            </w:r>
          </w:p>
        </w:tc>
        <w:tc>
          <w:tcPr>
            <w:tcW w:type="dxa" w:w="4500"/>
          </w:tcPr>
          <w:p>
            <w:r>
              <w:t xml:space="preserve">IQ, Aptitude_Test_Score</w:t>
            </w:r>
          </w:p>
        </w:tc>
      </w:tr>
      <w:tr>
        <w:tc>
          <w:tcPr>
            <w:tcW w:type="dxa" w:w="4500"/>
          </w:tcPr>
          <w:p>
            <w:r>
              <w:t xml:space="preserve">Experience</w:t>
            </w:r>
          </w:p>
        </w:tc>
        <w:tc>
          <w:tcPr>
            <w:tcW w:type="dxa" w:w="4500"/>
          </w:tcPr>
          <w:p>
            <w:r>
              <w:t xml:space="preserve">Internships, Projects, Certifications, Work_Experience</w:t>
            </w:r>
          </w:p>
        </w:tc>
      </w:tr>
      <w:tr>
        <w:tc>
          <w:tcPr>
            <w:tcW w:type="dxa" w:w="4500"/>
          </w:tcPr>
          <w:p>
            <w:r>
              <w:t xml:space="preserve">Soft Skills</w:t>
            </w:r>
          </w:p>
        </w:tc>
        <w:tc>
          <w:tcPr>
            <w:tcW w:type="dxa" w:w="4500"/>
          </w:tcPr>
          <w:p>
            <w:r>
              <w:t xml:space="preserve">Communication_Skills, Extra_Curricular_Score</w:t>
            </w:r>
          </w:p>
        </w:tc>
      </w:tr>
      <w:tr>
        <w:tc>
          <w:tcPr>
            <w:tcW w:type="dxa" w:w="4500"/>
          </w:tcPr>
          <w:p>
            <w:r>
              <w:t xml:space="preserve">Risk Factors</w:t>
            </w:r>
          </w:p>
        </w:tc>
        <w:tc>
          <w:tcPr>
            <w:tcW w:type="dxa" w:w="4500"/>
          </w:tcPr>
          <w:p>
            <w:r>
              <w:t xml:space="preserve">Backlogs</w:t>
            </w:r>
          </w:p>
        </w:tc>
      </w:tr>
      <w:tr>
        <w:tc>
          <w:tcPr>
            <w:tcW w:type="dxa" w:w="4500"/>
          </w:tcPr>
          <w:p>
            <w:r>
              <w:t xml:space="preserve">Demographics</w:t>
            </w:r>
          </w:p>
        </w:tc>
        <w:tc>
          <w:tcPr>
            <w:tcW w:type="dxa" w:w="4500"/>
          </w:tcPr>
          <w:p>
            <w:r>
              <w:t xml:space="preserve">Gender, Branch</w:t>
            </w:r>
          </w:p>
        </w:tc>
      </w:tr>
      <w:tr>
        <w:tc>
          <w:tcPr>
            <w:tcW w:type="dxa" w:w="4500"/>
          </w:tcPr>
          <w:p>
            <w:r>
              <w:t xml:space="preserve">Support</w:t>
            </w:r>
          </w:p>
        </w:tc>
        <w:tc>
          <w:tcPr>
            <w:tcW w:type="dxa" w:w="4500"/>
          </w:tcPr>
          <w:p>
            <w:r>
              <w:t xml:space="preserve">Placement_Training</w:t>
            </w:r>
          </w:p>
        </w:tc>
      </w:tr>
      <w:tr>
        <w:tc>
          <w:tcPr>
            <w:tcW w:type="dxa" w:w="4500"/>
          </w:tcPr>
          <w:p>
            <w:r>
              <w:t xml:space="preserve">Targets</w:t>
            </w:r>
          </w:p>
        </w:tc>
        <w:tc>
          <w:tcPr>
            <w:tcW w:type="dxa" w:w="4500"/>
          </w:tcPr>
          <w:p>
            <w:r>
              <w:t xml:space="preserve">Placement_Status, Salary_LPA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Exploratory Data Analysis</w:t>
      </w:r>
    </w:p>
    <w:p>
      <w:pPr>
        <w:pStyle w:val="Heading2"/>
        <w:spacing w:after="120" w:before="240"/>
      </w:pPr>
      <w:r>
        <w:t xml:space="preserve">3.1 Placement Distribution</w:t>
      </w:r>
    </w:p>
    <w:p>
      <w:pPr>
        <w:spacing w:after="160"/>
      </w:pPr>
      <w:r>
        <w:t xml:space="preserve">The overall placement rate in the dataset is approximately 74%, giving a realistic but moderately imbalanced classification problem.</w:t>
      </w:r>
    </w:p>
    <w:p>
      <w:pPr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1: Placement Status Distribution</w:t>
      </w:r>
    </w:p>
    <w:p>
      <w:pPr>
        <w:pStyle w:val="Heading2"/>
        <w:spacing w:after="120" w:before="240"/>
      </w:pPr>
      <w:r>
        <w:t xml:space="preserve">3.2 CGPA and Academic Performance</w:t>
      </w:r>
    </w:p>
    <w:p>
      <w:pPr>
        <w:spacing w:after="160"/>
      </w:pPr>
      <w:r>
        <w:t xml:space="preserve">Students with higher CGPA show a clearly higher placement rate. The median CGPA of placed students is visibly higher than that of students who were not placed, confirming CGPA as one of the strongest academic predictors.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2: CGPA Distribution by Placement Status</w:t>
      </w:r>
    </w:p>
    <w:p>
      <w:pPr>
        <w:pStyle w:val="Heading2"/>
        <w:spacing w:after="120" w:before="240"/>
      </w:pPr>
      <w:r>
        <w:t xml:space="preserve">3.3 Internship Experience</w:t>
      </w:r>
    </w:p>
    <w:p>
      <w:pPr>
        <w:spacing w:after="160"/>
      </w:pPr>
      <w:r>
        <w:t xml:space="preserve">Students with more internships tend to have a higher chance of being placed, reflecting the value recruiters place on practical, hands-on experience.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3: Internship Count vs Placement</w:t>
      </w:r>
    </w:p>
    <w:p>
      <w:pPr>
        <w:pStyle w:val="Heading2"/>
        <w:spacing w:after="120" w:before="240"/>
      </w:pPr>
      <w:r>
        <w:t xml:space="preserve">3.4 Correlation Analysis</w:t>
      </w:r>
    </w:p>
    <w:p>
      <w:pPr>
        <w:spacing w:after="160"/>
      </w:pPr>
      <w:r>
        <w:t xml:space="preserve">A correlation heatmap was generated across all numeric features to identify relationships and multicollinearity. CGPA, Communication Skills, and Certifications show the strongest positive correlation with placement, while Backlogs shows a negative correlation.</w:t>
      </w:r>
    </w:p>
    <w:p>
      <w:pPr>
        <w:jc w:val="center"/>
      </w:pPr>
      <w:r>
        <w:drawing>
          <wp:inline distT="0" distB="0" distL="0" distR="0">
            <wp:extent cx="4572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4: Correlation Heatmap of Numeric Features</w:t>
      </w:r>
    </w:p>
    <w:p>
      <w:pPr>
        <w:pStyle w:val="Heading2"/>
        <w:spacing w:after="120" w:before="240"/>
      </w:pPr>
      <w:r>
        <w:t xml:space="preserve">3.5 Branch-wise Placement Rate</w:t>
      </w:r>
    </w:p>
    <w:p>
      <w:pPr>
        <w:spacing w:after="160"/>
      </w:pPr>
      <w:r>
        <w:t xml:space="preserve">Placement rates vary across engineering branches, with CSE and IT branches generally showing higher placement percentages, consistent with current industry hiring trends.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5: Branch-wise Placement Rate</w:t>
      </w:r>
    </w:p>
    <w:p>
      <w:pPr>
        <w:pStyle w:val="Heading2"/>
        <w:spacing w:after="120" w:before="240"/>
      </w:pPr>
      <w:r>
        <w:t xml:space="preserve">3.6 Communication Skills</w:t>
      </w:r>
    </w:p>
    <w:p>
      <w:pPr>
        <w:spacing w:after="160"/>
      </w:pPr>
      <w:r>
        <w:t xml:space="preserve">Communication skill ratings are noticeably higher among placed students, suggesting soft skills play a meaningful role in placement outcomes alongside academics.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6: Communication Skills vs Placement</w:t>
      </w:r>
    </w:p>
    <w:p>
      <w:pPr>
        <w:pStyle w:val="Heading2"/>
        <w:spacing w:after="120" w:before="240"/>
      </w:pPr>
      <w:r>
        <w:t xml:space="preserve">3.7 Salary Distribution</w:t>
      </w:r>
    </w:p>
    <w:p>
      <w:pPr>
        <w:spacing w:after="160"/>
      </w:pPr>
      <w:r>
        <w:t xml:space="preserve">Among placed students, salary offers (in LPA) follow a roughly normal distribution, with most offers concentrated between 4 and 8 LPA and a smaller number of high-paying outliers.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7: Salary Distribution (Placed Students)</w:t>
      </w:r>
    </w:p>
    <w:p>
      <w:pPr>
        <w:pStyle w:val="Heading2"/>
        <w:spacing w:after="120" w:before="240"/>
      </w:pPr>
      <w:r>
        <w:t xml:space="preserve">3.8 Impact of Backlogs</w:t>
      </w:r>
    </w:p>
    <w:p>
      <w:pPr>
        <w:spacing w:after="160"/>
      </w:pPr>
      <w:r>
        <w:t xml:space="preserve">Placement rate decreases sharply as the number of academic backlogs increases, confirming backlogs as a significant risk factor.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8: Backlogs vs Placement Rate</w:t>
      </w:r>
    </w:p>
    <w:p>
      <w:pPr>
        <w:pStyle w:val="Heading1"/>
        <w:spacing w:after="160" w:before="320"/>
      </w:pPr>
      <w:r>
        <w:t xml:space="preserve">4. Predictive Modeling</w:t>
      </w:r>
    </w:p>
    <w:p>
      <w:pPr>
        <w:spacing w:after="160"/>
      </w:pPr>
      <w:r>
        <w:t xml:space="preserve">Two classification models were trained to predict placement outcome: Logistic Regression (a linear baseline) and Random Forest (an ensemble model capable of capturing non-linear relationships). Data was split 80/20 into training and test sets with stratification on the target.</w:t>
      </w:r>
    </w:p>
    <w:p>
      <w:pPr>
        <w:pStyle w:val="Heading2"/>
        <w:spacing w:after="120" w:before="240"/>
      </w:pPr>
      <w:r>
        <w:t xml:space="preserve">4.1 Model Performance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ROC-AUC</w:t>
            </w:r>
          </w:p>
        </w:tc>
      </w:tr>
      <w:tr>
        <w:tc>
          <w:tcPr>
            <w:tcW w:type="dxa" w:w="3000"/>
          </w:tcPr>
          <w:p>
            <w:r>
              <w:t xml:space="preserve">Logistic Regression</w:t>
            </w:r>
          </w:p>
        </w:tc>
        <w:tc>
          <w:tcPr>
            <w:tcW w:type="dxa" w:w="3000"/>
          </w:tcPr>
          <w:p>
            <w:r>
              <w:t xml:space="preserve">76.2%</w:t>
            </w:r>
          </w:p>
        </w:tc>
        <w:tc>
          <w:tcPr>
            <w:tcW w:type="dxa" w:w="3000"/>
          </w:tcPr>
          <w:p>
            <w:r>
              <w:t xml:space="preserve">0.83</w:t>
            </w:r>
          </w:p>
        </w:tc>
      </w:tr>
      <w:tr>
        <w:tc>
          <w:tcPr>
            <w:tcW w:type="dxa" w:w="3000"/>
          </w:tcPr>
          <w:p>
            <w:r>
              <w:t xml:space="preserve">Random Forest</w:t>
            </w:r>
          </w:p>
        </w:tc>
        <w:tc>
          <w:tcPr>
            <w:tcW w:type="dxa" w:w="3000"/>
          </w:tcPr>
          <w:p>
            <w:r>
              <w:t xml:space="preserve">79.4%</w:t>
            </w:r>
          </w:p>
        </w:tc>
        <w:tc>
          <w:tcPr>
            <w:tcW w:type="dxa" w:w="3000"/>
          </w:tcPr>
          <w:p>
            <w:r>
              <w:t xml:space="preserve">0.77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Random Forest achieves higher overall accuracy, while Logistic Regression achieves a higher ROC-AUC, indicating strong and well-calibrated ranking of placement probability. In practice, either model provides a solid baseline; Logistic Regression is preferred when interpretability matters, while Random Forest is preferred when raw accuracy is the priority.</w:t>
      </w:r>
    </w:p>
    <w:p>
      <w:pPr>
        <w:pStyle w:val="Heading2"/>
        <w:spacing w:after="120" w:before="240"/>
      </w:pPr>
      <w:r>
        <w:t xml:space="preserve">4.2 Confusion Matrices</w:t>
      </w:r>
    </w:p>
    <w:p>
      <w:pPr>
        <w:jc w:val="center"/>
      </w:pPr>
      <w:r>
        <w:drawing>
          <wp:inline distT="0" distB="0" distL="0" distR="0">
            <wp:extent cx="4572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9: Confusion Matrices for Both Models</w:t>
      </w:r>
    </w:p>
    <w:p>
      <w:pPr>
        <w:pStyle w:val="Heading2"/>
        <w:spacing w:after="120" w:before="240"/>
      </w:pPr>
      <w:r>
        <w:t xml:space="preserve">4.3 ROC Curve Comparison</w:t>
      </w:r>
    </w:p>
    <w:p>
      <w:pPr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10: ROC Curve Comparison</w:t>
      </w:r>
    </w:p>
    <w:p>
      <w:pPr>
        <w:pStyle w:val="Heading2"/>
        <w:spacing w:after="120" w:before="240"/>
      </w:pPr>
      <w:r>
        <w:t xml:space="preserve">4.4 Feature Importance</w:t>
      </w:r>
    </w:p>
    <w:p>
      <w:pPr>
        <w:spacing w:after="160"/>
      </w:pPr>
      <w:r>
        <w:t xml:space="preserve">The Random Forest model's feature importance ranking confirms the EDA findings: CGPA, Communication Skills, Aptitude Test Score, IQ, and Backlogs are the top predictors of placement.</w:t>
      </w:r>
    </w:p>
    <w:p>
      <w:pPr>
        <w:jc w:val="center"/>
      </w:pPr>
      <w:r>
        <w:drawing>
          <wp:inline distT="0" distB="0" distL="0" distR="0">
            <wp:extent cx="4572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11: Feature Importance (Random Forest)</w:t>
      </w:r>
    </w:p>
    <w:p>
      <w:pPr>
        <w:pStyle w:val="Heading1"/>
        <w:spacing w:after="160" w:before="320"/>
      </w:pPr>
      <w:r>
        <w:t xml:space="preserve">5. Key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CGPA is the single strongest predictor of placement outcome.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Communication skills and aptitude scores meaningfully boost placement chances beyond academics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internships, projects, and certifications correlate with a higher placement 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Backlogs have a strong negative impact — students with 2+ backlogs see placement rates drop significantly.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CSE and IT branches show the highest placement rates in this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Salary offers for placed students cluster mainly between 4-8 LPA, with CGPA and internship count driving higher offers.</w:t>
      </w:r>
    </w:p>
    <w:p>
      <w:pPr>
        <w:pStyle w:val="Heading1"/>
        <w:spacing w:after="160" w:before="320"/>
      </w:pPr>
      <w:r>
        <w:t xml:space="preserve">6. Conclusion &amp; Recommendations</w:t>
      </w:r>
    </w:p>
    <w:p>
      <w:pPr>
        <w:spacing w:after="160"/>
      </w:pPr>
      <w:r>
        <w:t xml:space="preserve">The analysis shows that placement success is driven by a combination of strong academic performance (CGPA), practical exposure (internships, projects, certifications), and soft skills (communication). Colleges and placement cells can use these insights to design targeted interventions: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focused academic support to students with backlogs early in the final year.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Encourage internships and certification programs starting from the second year.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structured communication and soft-skills training before placement season.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trained model to flag at-risk students for early, proactive placement counselling.</w:t>
      </w:r>
    </w:p>
    <w:p>
      <w:pPr>
        <w:pStyle w:val="Heading1"/>
        <w:spacing w:after="160" w:before="320"/>
      </w:pPr>
      <w:r>
        <w:t xml:space="preserve">7. Project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t xml:space="preserve">data/placement_data.csv</w:t>
            </w:r>
          </w:p>
        </w:tc>
        <w:tc>
          <w:tcPr>
            <w:tcW w:type="dxa" w:w="4500"/>
          </w:tcPr>
          <w:p>
            <w:r>
              <w:t xml:space="preserve">Synthetic student placement dataset (800 rows)</w:t>
            </w:r>
          </w:p>
        </w:tc>
      </w:tr>
      <w:tr>
        <w:tc>
          <w:tcPr>
            <w:tcW w:type="dxa" w:w="4500"/>
          </w:tcPr>
          <w:p>
            <w:r>
              <w:t xml:space="preserve">src/generate_data.py</w:t>
            </w:r>
          </w:p>
        </w:tc>
        <w:tc>
          <w:tcPr>
            <w:tcW w:type="dxa" w:w="4500"/>
          </w:tcPr>
          <w:p>
            <w:r>
              <w:t xml:space="preserve">Script that generates the dataset</w:t>
            </w:r>
          </w:p>
        </w:tc>
      </w:tr>
      <w:tr>
        <w:tc>
          <w:tcPr>
            <w:tcW w:type="dxa" w:w="4500"/>
          </w:tcPr>
          <w:p>
            <w:r>
              <w:t xml:space="preserve">src/eda_analysis.py</w:t>
            </w:r>
          </w:p>
        </w:tc>
        <w:tc>
          <w:tcPr>
            <w:tcW w:type="dxa" w:w="4500"/>
          </w:tcPr>
          <w:p>
            <w:r>
              <w:t xml:space="preserve">Exploratory data analysis + chart generation</w:t>
            </w:r>
          </w:p>
        </w:tc>
      </w:tr>
      <w:tr>
        <w:tc>
          <w:tcPr>
            <w:tcW w:type="dxa" w:w="4500"/>
          </w:tcPr>
          <w:p>
            <w:r>
              <w:t xml:space="preserve">src/model.py</w:t>
            </w:r>
          </w:p>
        </w:tc>
        <w:tc>
          <w:tcPr>
            <w:tcW w:type="dxa" w:w="4500"/>
          </w:tcPr>
          <w:p>
            <w:r>
              <w:t xml:space="preserve">ML model training and evaluation</w:t>
            </w:r>
          </w:p>
        </w:tc>
      </w:tr>
      <w:tr>
        <w:tc>
          <w:tcPr>
            <w:tcW w:type="dxa" w:w="4500"/>
          </w:tcPr>
          <w:p>
            <w:r>
              <w:t xml:space="preserve">charts/*.png</w:t>
            </w:r>
          </w:p>
        </w:tc>
        <w:tc>
          <w:tcPr>
            <w:tcW w:type="dxa" w:w="4500"/>
          </w:tcPr>
          <w:p>
            <w:r>
              <w:t xml:space="preserve">All EDA and model evaluation charts</w:t>
            </w:r>
          </w:p>
        </w:tc>
      </w:tr>
      <w:tr>
        <w:tc>
          <w:tcPr>
            <w:tcW w:type="dxa" w:w="4500"/>
          </w:tcPr>
          <w:p>
            <w:r>
              <w:t xml:space="preserve">data/model_results.csv</w:t>
            </w:r>
          </w:p>
        </w:tc>
        <w:tc>
          <w:tcPr>
            <w:tcW w:type="dxa" w:w="4500"/>
          </w:tcPr>
          <w:p>
            <w:r>
              <w:t xml:space="preserve">Model accuracy/AUC comparison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e49df091f7642986dae2b9d8958cccfebfcd00.png"/><Relationship Id="rId8" Type="http://schemas.openxmlformats.org/officeDocument/2006/relationships/image" Target="media/b870a932fe87edc31736077bffe11c9e54bc913b.png"/><Relationship Id="rId9" Type="http://schemas.openxmlformats.org/officeDocument/2006/relationships/image" Target="media/4e75053b6237a810b29ce2a06e007bf999c1dc28.png"/><Relationship Id="rId10" Type="http://schemas.openxmlformats.org/officeDocument/2006/relationships/image" Target="media/9e0c14381aaa4476aa6bc5ba2e19c36f077ca5bd.png"/><Relationship Id="rId11" Type="http://schemas.openxmlformats.org/officeDocument/2006/relationships/image" Target="media/292fbf5881163d5f97124eef6b5ac91cbdb64063.png"/><Relationship Id="rId12" Type="http://schemas.openxmlformats.org/officeDocument/2006/relationships/image" Target="media/fdce3b77701b759489e8eb9c4dd753ce8dc768e7.png"/><Relationship Id="rId13" Type="http://schemas.openxmlformats.org/officeDocument/2006/relationships/image" Target="media/8ce735b6fe21e7d4084afedafd4854f3833eabfb.png"/><Relationship Id="rId14" Type="http://schemas.openxmlformats.org/officeDocument/2006/relationships/image" Target="media/9806b1d5b2c4c5797e5145fa9e4108859ea065fd.png"/><Relationship Id="rId15" Type="http://schemas.openxmlformats.org/officeDocument/2006/relationships/image" Target="media/83a49ba52f115e41c517cac359fd93ace2bc567b.png"/><Relationship Id="rId16" Type="http://schemas.openxmlformats.org/officeDocument/2006/relationships/image" Target="media/04e338151aec3eb5ab41c47ad685ce21b079edfb.png"/><Relationship Id="rId17" Type="http://schemas.openxmlformats.org/officeDocument/2006/relationships/image" Target="media/91e20be8a30ee0f3b1f1de59f392010bf0f2335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2026-09-13T14:48:55.617Z</dcterms:created>
  <dcterms:modified xsi:type="dcterms:W3CDTF">2026-09-13T14:48:55.628Z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