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>
          <w:trHeight w:val="394" w:hRule="atLeast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SWTID-2026-9688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Script controlled ACL-escrivted record based on field values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2MARKS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  <w:tblLook w:val="0600"/>
      </w:tblPr>
      <w:tblGrid>
        <w:gridCol w:w="868"/>
        <w:gridCol w:w="2214"/>
        <w:gridCol w:w="2030"/>
        <w:gridCol w:w="2142"/>
        <w:gridCol w:w="1024"/>
        <w:gridCol w:w="1082"/>
      </w:tblGrid>
      <w:tr>
        <w:trPr>
          <w:trHeight w:val="1055" w:hRule="atLeast"/>
        </w:trPr>
        <w:tc>
          <w:tcPr>
            <w:tcW w:w="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2</Pages>
  <Words>185</Words>
  <Characters>1010</Characters>
  <CharactersWithSpaces>1150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2026-10-03T09:27:23Z</dcterms:modified>
  <cp:revision>1</cp:revision>
  <dc:subject/>
  <dc:title/>
</cp:coreProperties>
</file>