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通信电子线路</w:t>
      </w:r>
      <w:r>
        <w:rPr>
          <w:rFonts w:hint="eastAsia"/>
          <w:b/>
          <w:sz w:val="28"/>
          <w:u w:val="single"/>
        </w:rPr>
        <w:t xml:space="preserve">                           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小信号谐调放大器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 电子与信息工程学院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通信工程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罗雪晖 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ind w:left="843" w:hanging="843" w:hangingChars="300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王俊彬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：2020282</w:t>
      </w:r>
      <w:r>
        <w:rPr>
          <w:rFonts w:hint="eastAsia"/>
          <w:b/>
          <w:sz w:val="28"/>
          <w:u w:val="single"/>
          <w:lang w:val="en-US" w:eastAsia="zh-CN"/>
        </w:rPr>
        <w:t>0</w:t>
      </w:r>
      <w:r>
        <w:rPr>
          <w:rFonts w:hint="eastAsia"/>
          <w:b/>
          <w:sz w:val="28"/>
          <w:u w:val="single"/>
        </w:rPr>
        <w:t>17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通信</w:t>
      </w:r>
      <w:r>
        <w:rPr>
          <w:rFonts w:hint="eastAsia"/>
          <w:b/>
          <w:sz w:val="28"/>
          <w:u w:val="single"/>
          <w:lang w:val="en-US" w:eastAsia="zh-CN"/>
        </w:rPr>
        <w:t>04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ind w:left="843" w:hanging="843" w:hangingChars="300"/>
        <w:rPr>
          <w:b/>
          <w:sz w:val="28"/>
        </w:rPr>
      </w:pPr>
    </w:p>
    <w:p>
      <w:pPr>
        <w:ind w:left="630" w:leftChars="300" w:firstLine="281" w:firstLineChars="100"/>
        <w:rPr>
          <w:b/>
          <w:sz w:val="28"/>
          <w:u w:val="single"/>
        </w:rPr>
      </w:pPr>
      <w:r>
        <w:rPr>
          <w:rFonts w:hint="eastAsia"/>
          <w:b/>
          <w:sz w:val="28"/>
        </w:rPr>
        <w:t>组员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王俊彬、肖展鹏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ind w:left="630" w:leftChars="300" w:firstLine="281" w:firstLineChars="100"/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  <w:lang w:val="en-US" w:eastAsia="zh-CN"/>
        </w:rPr>
        <w:t>11日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20</w:t>
      </w:r>
      <w:r>
        <w:rPr>
          <w:rFonts w:hint="eastAsia"/>
          <w:b/>
          <w:sz w:val="28"/>
          <w:u w:val="single"/>
          <w:lang w:val="en-US" w:eastAsia="zh-CN"/>
        </w:rPr>
        <w:t>22</w:t>
      </w:r>
      <w:r>
        <w:rPr>
          <w:rFonts w:hint="eastAsia"/>
          <w:b/>
          <w:sz w:val="28"/>
          <w:u w:val="single"/>
        </w:rPr>
        <w:t>年5月</w:t>
      </w:r>
      <w:r>
        <w:rPr>
          <w:rFonts w:hint="eastAsia"/>
          <w:b/>
          <w:sz w:val="28"/>
          <w:u w:val="single"/>
          <w:lang w:val="en-US" w:eastAsia="zh-CN"/>
        </w:rPr>
        <w:t>25日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Style w:val="4"/>
        <w:tblW w:w="9594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8" w:hRule="atLeast"/>
        </w:trPr>
        <w:tc>
          <w:tcPr>
            <w:tcW w:w="9594" w:type="dxa"/>
            <w:noWrap w:val="0"/>
            <w:vAlign w:val="top"/>
          </w:tcPr>
          <w:p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实验目的：</w:t>
            </w:r>
          </w:p>
          <w:p>
            <w:pPr>
              <w:spacing w:line="440" w:lineRule="exact"/>
              <w:ind w:firstLine="283" w:firstLineChars="13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1.熟悉电子元器件和高频电子线路实验系统；</w:t>
            </w:r>
          </w:p>
          <w:p>
            <w:pPr>
              <w:spacing w:line="440" w:lineRule="exact"/>
              <w:ind w:firstLine="283" w:firstLineChars="13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2.掌握单调谐和双调谐放大器的基本工作原理；</w:t>
            </w:r>
          </w:p>
          <w:p>
            <w:pPr>
              <w:spacing w:line="440" w:lineRule="exact"/>
              <w:ind w:firstLine="283" w:firstLineChars="13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3.掌握测量放大器幅频特性的方法；</w:t>
            </w:r>
          </w:p>
          <w:p>
            <w:pPr>
              <w:spacing w:line="440" w:lineRule="exact"/>
              <w:ind w:firstLine="283" w:firstLineChars="13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4.熟悉放大器集电极负载对单调谐和双调谐放大器幅频特性的影响；</w:t>
            </w:r>
          </w:p>
          <w:p>
            <w:pPr>
              <w:spacing w:line="440" w:lineRule="exact"/>
              <w:ind w:firstLine="283" w:firstLineChars="135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</w:rPr>
              <w:t>5.了解放大器动态范围的概念和测量方法。</w:t>
            </w:r>
            <w:r>
              <w:rPr>
                <w:rFonts w:ascii="宋体" w:hAnsi="宋体" w:cs="宋体"/>
                <w:sz w:val="22"/>
                <w:szCs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3" w:hRule="atLeast"/>
        </w:trPr>
        <w:tc>
          <w:tcPr>
            <w:tcW w:w="9594" w:type="dxa"/>
            <w:noWrap w:val="0"/>
            <w:vAlign w:val="top"/>
          </w:tcPr>
          <w:p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实验内容及数据分析：</w:t>
            </w:r>
          </w:p>
          <w:p>
            <w:pPr>
              <w:spacing w:line="440" w:lineRule="exact"/>
              <w:ind w:firstLine="283" w:firstLineChars="13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1.采用点测法测量单调谐和双调谐放大器的幅频特性；</w:t>
            </w:r>
          </w:p>
          <w:p>
            <w:pPr>
              <w:spacing w:line="440" w:lineRule="exact"/>
              <w:ind w:firstLine="283" w:firstLineChars="13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2.用示波器测量输入、输出信号幅度，并计算放大器的放大倍数；</w:t>
            </w:r>
          </w:p>
          <w:p>
            <w:pPr>
              <w:spacing w:line="440" w:lineRule="exact"/>
              <w:ind w:firstLine="283" w:firstLineChars="13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3.用示波器观察耦合电容对双调谐回路放大器幅频特性的影响；</w:t>
            </w:r>
          </w:p>
          <w:p>
            <w:pPr>
              <w:spacing w:line="440" w:lineRule="exact"/>
              <w:ind w:firstLine="283" w:firstLineChars="13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4.用示波器观察放大器的动态范围；</w:t>
            </w:r>
          </w:p>
          <w:p>
            <w:pPr>
              <w:spacing w:line="440" w:lineRule="exact"/>
              <w:ind w:firstLine="283" w:firstLineChars="135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5.观察集电极负载对放大器幅频特性的影响。</w:t>
            </w:r>
          </w:p>
          <w:p>
            <w:pPr>
              <w:spacing w:line="440" w:lineRule="exact"/>
              <w:ind w:firstLine="283" w:firstLineChars="135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小信号谐调放大器电路图：</w:t>
            </w:r>
          </w:p>
          <w:p>
            <w:pPr>
              <w:jc w:val="both"/>
              <w:rPr>
                <w:rFonts w:hint="default"/>
                <w:b/>
                <w:bCs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drawing>
                <wp:inline distT="0" distB="0" distL="114300" distR="114300">
                  <wp:extent cx="5979795" cy="2697480"/>
                  <wp:effectExtent l="0" t="0" r="1905" b="6985"/>
                  <wp:docPr id="1" name="图片 243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43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795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beforeLines="50" w:line="440" w:lineRule="exact"/>
              <w:rPr>
                <w:rFonts w:hint="eastAsia"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实验步骤</w:t>
            </w:r>
          </w:p>
          <w:p>
            <w:pPr>
              <w:spacing w:line="440" w:lineRule="exac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  1.实验准备</w:t>
            </w:r>
          </w:p>
          <w:p>
            <w:pPr>
              <w:spacing w:line="440" w:lineRule="exac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szCs w:val="21"/>
              </w:rPr>
              <w:t xml:space="preserve">   在实验箱主板上插装好无线接收与小信号放大模块，插好鼠标接通实验箱上电源开关，</w:t>
            </w:r>
            <w:r>
              <w:rPr>
                <w:rFonts w:hint="eastAsia" w:ascii="宋体" w:hAnsi="宋体"/>
              </w:rPr>
              <w:t>此时模块上电源指示灯和运行指示灯闪亮。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420" w:lineRule="exact"/>
              <w:ind w:firstLine="209" w:firstLineChars="99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 xml:space="preserve"> 2.</w:t>
            </w:r>
            <w:r>
              <w:rPr>
                <w:rFonts w:ascii="宋体" w:hAnsi="宋体"/>
                <w:b/>
                <w:bCs/>
                <w:kern w:val="0"/>
                <w:szCs w:val="21"/>
              </w:rPr>
              <w:t>单调谐回路谐振放大器幅频特性测量</w:t>
            </w:r>
          </w:p>
          <w:p>
            <w:pPr>
              <w:autoSpaceDE w:val="0"/>
              <w:autoSpaceDN w:val="0"/>
              <w:adjustRightInd w:val="0"/>
              <w:snapToGrid w:val="0"/>
              <w:spacing w:line="460" w:lineRule="exact"/>
              <w:ind w:firstLine="516" w:firstLineChars="246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测量幅频特性通常有两种方法，即扫频法和点测法。扫频法简单直观，可直接观察到单调谐放大特性曲线，但需要扫频仪。点测法采用示波器进行测试，即保持输入信号幅度不变，改变输入信号的频率，测出与频率相对应的单调谐回路谐振放大器的输出电压幅度，然后画出频率与幅度的关系曲线，该曲线即为单调谐回路谐振放大器的幅频特性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460" w:lineRule="exact"/>
              <w:ind w:firstLine="315" w:firstLineChars="150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 xml:space="preserve"> (1)点测法，其步骤如下：</w:t>
            </w:r>
          </w:p>
          <w:p>
            <w:pPr>
              <w:spacing w:line="420" w:lineRule="exac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 xml:space="preserve">    ①通过鼠标点击显示屏，选择实验项目中“高频原理实验”，然后再选择“小信号调谐放大电路实验”，通过选择“小信号调谐放大”后，显示屏上显示小信号调谐放大器原理电路图。用鼠标点击1K2开关，1K2开关接通，且模块上对应的1K2指示灯点亮，此时1C19被短路，放大器为单调谐回路。1K1断开，1K1指示灯不亮。</w:t>
            </w:r>
          </w:p>
          <w:p>
            <w:pPr>
              <w:spacing w:line="420" w:lineRule="exac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 xml:space="preserve">   ②将显示屏下方的高频信号源连接到小信号放大器输入端（1P1），示波器CHI接放大器输入端1TP2，示波器CH2接放大器输出端1TP7。调整高频信号源频率为6.3MHZ（用鼠标点击原理图左侧“高放输入”，频率显示为6.3MHZ，高频信号源开机默认值为6.3MHZ。）调整高频信号源输出幅度为200mv，(用鼠标点击原理图左侧“高放输入”，用鼠标调整幅度或直接调整显示屏下方右侧“幅度”旋钮，即可调整其幅度)。调整1w1和1W2,使放大器输出为最大值，用鼠标点击1W1或1W2，相应指示灯点亮，拨动鼠标滑轮，即可调整其电位器阻值。（注：旋转模块上编码器（1SS1</w:t>
            </w:r>
            <w:r>
              <w:rPr>
                <w:rFonts w:ascii="宋体" w:hAnsi="宋体"/>
                <w:kern w:val="0"/>
                <w:szCs w:val="21"/>
              </w:rPr>
              <w:t>）</w:t>
            </w:r>
            <w:r>
              <w:rPr>
                <w:rFonts w:hint="eastAsia" w:ascii="宋体" w:hAnsi="宋体"/>
                <w:kern w:val="0"/>
                <w:szCs w:val="21"/>
              </w:rPr>
              <w:t>旋钮同样可以调整其电阻，首先按动编码器，使相应的指示灯点亮，然后再旋转旋钮就可调整其阻值。我们建议用鼠标调整，因为长期用编码器调整，可能会造成编码器机械性损坏。）调整1W1、1W2使放大器输出幅度达到最大时，此时放大器谐振回路谐振于6.3MHZ。比较此时输入输出幅度大小，并算出放大倍数。</w:t>
            </w:r>
          </w:p>
          <w:p>
            <w:pPr>
              <w:spacing w:line="420" w:lineRule="exact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 xml:space="preserve">    ③按照表1-1改变高频信号源的频率，保持高频信号源输出幅度为200mv，从示波器CH2上读出与频率相对应的单调谐放大器的电压幅值，并把数据填入表1-1。调频率时，用鼠标点击原理图左侧“高放输入”，选择“步进调节”为100KHZ,旋转显示屏下方左侧“频率”旋转，每旋一档即改变100KHZ。</w:t>
            </w:r>
          </w:p>
          <w:p>
            <w:pPr>
              <w:spacing w:line="42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表1-1</w:t>
            </w:r>
          </w:p>
          <w:tbl>
            <w:tblPr>
              <w:tblStyle w:val="4"/>
              <w:tblpPr w:leftFromText="180" w:rightFromText="180" w:vertAnchor="text" w:horzAnchor="page" w:tblpX="96" w:tblpY="8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9"/>
              <w:gridCol w:w="501"/>
              <w:gridCol w:w="501"/>
              <w:gridCol w:w="501"/>
              <w:gridCol w:w="501"/>
              <w:gridCol w:w="501"/>
              <w:gridCol w:w="501"/>
              <w:gridCol w:w="501"/>
              <w:gridCol w:w="502"/>
              <w:gridCol w:w="502"/>
              <w:gridCol w:w="502"/>
              <w:gridCol w:w="502"/>
              <w:gridCol w:w="502"/>
              <w:gridCol w:w="502"/>
              <w:gridCol w:w="502"/>
              <w:gridCol w:w="502"/>
              <w:gridCol w:w="5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1" w:hRule="atLeast"/>
              </w:trPr>
              <w:tc>
                <w:tcPr>
                  <w:tcW w:w="1279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260" w:lineRule="exact"/>
                    <w:jc w:val="center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 xml:space="preserve"> 输入信号频率f(MHZ)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5.5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5.6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5.7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5.8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5.9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6.0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6.1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6.2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6.3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6.4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6.5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6.6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6.7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6.8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6.9</w:t>
                  </w:r>
                </w:p>
              </w:tc>
              <w:tc>
                <w:tcPr>
                  <w:tcW w:w="506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7.0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71" w:hRule="atLeast"/>
              </w:trPr>
              <w:tc>
                <w:tcPr>
                  <w:tcW w:w="1279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260" w:lineRule="exact"/>
                    <w:jc w:val="center"/>
                    <w:rPr>
                      <w:rFonts w:ascii="宋体" w:hAnsi="宋体"/>
                      <w:kern w:val="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</w:rPr>
                    <w:t>输出电压幅值U(mv)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1160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1240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1380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1540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1700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1980</w:t>
                  </w:r>
                </w:p>
              </w:tc>
              <w:tc>
                <w:tcPr>
                  <w:tcW w:w="501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2300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2660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3000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2900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2640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2300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1960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1640</w:t>
                  </w:r>
                </w:p>
              </w:tc>
              <w:tc>
                <w:tcPr>
                  <w:tcW w:w="502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1400</w:t>
                  </w:r>
                </w:p>
              </w:tc>
              <w:tc>
                <w:tcPr>
                  <w:tcW w:w="506" w:type="dxa"/>
                  <w:noWrap w:val="0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20" w:lineRule="exact"/>
                    <w:rPr>
                      <w:rFonts w:hint="default" w:ascii="宋体" w:hAnsi="宋体" w:eastAsia="宋体"/>
                      <w:kern w:val="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kern w:val="0"/>
                      <w:sz w:val="15"/>
                      <w:szCs w:val="15"/>
                      <w:lang w:val="en-US" w:eastAsia="zh-CN"/>
                    </w:rPr>
                    <w:t>1200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napToGrid w:val="0"/>
              <w:spacing w:line="420" w:lineRule="exact"/>
              <w:ind w:firstLine="105" w:firstLineChars="5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宋体" w:hAnsi="宋体"/>
              </w:rPr>
              <w:t>④</w:t>
            </w:r>
            <w:r>
              <w:rPr>
                <w:rFonts w:hint="eastAsia"/>
              </w:rPr>
              <w:t>从横轴为频率，纵轴为电压幅值，按表1-1，画出单调放大器的幅频特性曲线</w:t>
            </w:r>
            <w:r>
              <w:rPr>
                <w:rFonts w:hint="eastAsia" w:ascii="宋体" w:hAnsi="宋体"/>
                <w:kern w:val="0"/>
                <w:szCs w:val="21"/>
              </w:rPr>
              <w:t>。</w:t>
            </w:r>
          </w:p>
          <w:p>
            <w:pPr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数据处分析：</w:t>
            </w:r>
          </w:p>
          <w:p>
            <w:pPr>
              <w:rPr>
                <w:rFonts w:hint="default" w:hAnsi="Cambria Math"/>
                <w:i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lang w:val="en-US" w:eastAsia="zh-CN"/>
              </w:rPr>
              <w:t>谐振放大倍数A=</w:t>
            </w:r>
            <m:oMath>
              <m:f>
                <m:fPr>
                  <m:ctrlPr>
                    <w:rPr>
                      <w:rFonts w:ascii="Cambria Math" w:hAnsi="Cambria Math"/>
                      <w:bCs w:val="0"/>
                      <w:i/>
                      <w:sz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3000mV</m:t>
                  </m:r>
                  <m:ctrlPr>
                    <w:rPr>
                      <w:rFonts w:ascii="Cambria Math" w:hAnsi="Cambria Math"/>
                      <w:bCs w:val="0"/>
                      <w:i/>
                      <w:sz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4"/>
                      <w:lang w:val="en-US" w:eastAsia="zh-CN"/>
                    </w:rPr>
                    <m:t>200mV</m:t>
                  </m:r>
                  <m:ctrlPr>
                    <w:rPr>
                      <w:rFonts w:ascii="Cambria Math" w:hAnsi="Cambria Math"/>
                      <w:bCs w:val="0"/>
                      <w:i/>
                      <w:sz w:val="24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4"/>
                  <w:lang w:val="en-US" w:eastAsia="zh-CN"/>
                </w:rPr>
                <m:t>=15</m:t>
              </m:r>
            </m:oMath>
          </w:p>
          <w:p>
            <w:pPr>
              <w:rPr>
                <w:rFonts w:hint="default" w:hAnsi="Cambria Math"/>
                <w:i w:val="0"/>
                <w:sz w:val="24"/>
                <w:lang w:val="en-US" w:eastAsia="zh-CN"/>
              </w:rPr>
            </w:pPr>
            <w:r>
              <w:rPr>
                <w:rFonts w:hint="eastAsia" w:hAnsi="Cambria Math"/>
                <w:i w:val="0"/>
                <w:sz w:val="24"/>
                <w:lang w:val="en-US" w:eastAsia="zh-CN"/>
              </w:rPr>
              <w:t>带宽 BW=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kern w:val="2"/>
                      <w:sz w:val="24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=6.7−6.0=0.7M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H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4"/>
                  <w:szCs w:val="24"/>
                  <w:lang w:val="en-US" w:eastAsia="zh-CN" w:bidi="ar-SA"/>
                </w:rPr>
                <m:t>z</m:t>
              </m:r>
            </m:oMath>
          </w:p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eastAsia="zh-CN"/>
              </w:rPr>
              <w:drawing>
                <wp:inline distT="0" distB="0" distL="114300" distR="114300">
                  <wp:extent cx="5761355" cy="3467100"/>
                  <wp:effectExtent l="0" t="0" r="10795" b="0"/>
                  <wp:docPr id="2" name="图片 245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45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=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(2)  扫频法，即用扫频仪直接测量放大器的幅频特性曲线。利用本实验箱上的扫频仪测试的方法是：用鼠标点击显示屏，选择扫频仪，将显示屏下方的高频信号源（此时为扫频信号源）接入小信号放大的输入端（1P1），将显示屏下方的“扫频仪”与小信号放大的输出（1P8）相连。按动无线接收与小信号放大模块上的编码器（1SS1），选择1K2指示灯闪亮，并旋转编码器（1SS1）使1K2指示灯长亮，此时小信号放大为单调谐。显示屏上显示的曲线即为单调谐幅频特性曲线，调整1W1、1W2曲线会有变化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420" w:lineRule="exact"/>
              <w:ind w:firstLine="105" w:firstLineChars="50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3．观察集电极负载对单调谐放大器幅频特性的影响</w:t>
            </w:r>
          </w:p>
          <w:p>
            <w:pPr>
              <w:rPr>
                <w:rFonts w:hint="eastAsia" w:ascii="宋体" w:hAnsi="宋体"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</w:rPr>
              <w:t xml:space="preserve">   当放大器工作于放大状态下，按照上述幅频特性的测量方法测出接通与不接通1R25的幅频特性曲线。（用鼠标点击1K1，模块上1K1指示灯点亮时为接通，不亮时为断开）。可以发现：当不接1R25时，集电极负载增大，幅频特性幅值加大，曲线变“瘦”，Q值增高，带宽减小。而当接通1R25时，幅频特性幅值减小，曲线变“胖”，Q值降低，带宽加大。</w:t>
            </w:r>
          </w:p>
          <w:p>
            <w:pPr>
              <w:rPr>
                <w:rFonts w:hint="default" w:ascii="宋体" w:hAnsi="宋体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kern w:val="0"/>
                <w:szCs w:val="21"/>
                <w:lang w:eastAsia="zh-CN"/>
              </w:rPr>
              <w:t>）</w:t>
            </w:r>
            <w:r>
              <w:rPr>
                <w:rFonts w:hint="eastAsia" w:ascii="宋体" w:hAnsi="宋体"/>
                <w:bCs/>
                <w:kern w:val="0"/>
                <w:szCs w:val="21"/>
                <w:lang w:val="en-US" w:eastAsia="zh-CN"/>
              </w:rPr>
              <w:t>接1R25</w:t>
            </w:r>
          </w:p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eastAsia="宋体"/>
                <w:b/>
                <w:bCs/>
                <w:sz w:val="24"/>
                <w:lang w:eastAsia="zh-CN"/>
              </w:rPr>
              <w:drawing>
                <wp:inline distT="0" distB="0" distL="114300" distR="114300">
                  <wp:extent cx="4707255" cy="2808605"/>
                  <wp:effectExtent l="0" t="0" r="17145" b="10795"/>
                  <wp:docPr id="3" name="图片 246" descr="8a275df2bf8e603a7490021dbdde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46" descr="8a275df2bf8e603a7490021dbdde87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720" t="258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255" cy="280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b/>
                <w:bCs/>
                <w:sz w:val="24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宋体" w:hAnsi="宋体"/>
                <w:bCs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kern w:val="0"/>
                <w:szCs w:val="21"/>
                <w:lang w:eastAsia="zh-CN"/>
              </w:rPr>
              <w:t>）</w:t>
            </w:r>
            <w:r>
              <w:rPr>
                <w:rFonts w:hint="eastAsia" w:ascii="宋体" w:hAnsi="宋体"/>
                <w:bCs/>
                <w:kern w:val="0"/>
                <w:szCs w:val="21"/>
                <w:lang w:val="en-US" w:eastAsia="zh-CN"/>
              </w:rPr>
              <w:t>不接1R25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u w:val="single"/>
              </w:rPr>
            </w:pPr>
          </w:p>
          <w:p>
            <w:pPr>
              <w:jc w:val="center"/>
            </w:pPr>
            <w:r>
              <w:rPr>
                <w:rFonts w:hint="eastAsia" w:eastAsia="宋体"/>
                <w:b/>
                <w:bCs/>
                <w:sz w:val="24"/>
                <w:lang w:eastAsia="zh-CN"/>
              </w:rPr>
              <w:drawing>
                <wp:inline distT="0" distB="0" distL="114300" distR="114300">
                  <wp:extent cx="5840095" cy="3710305"/>
                  <wp:effectExtent l="0" t="0" r="8255" b="4445"/>
                  <wp:docPr id="4" name="图片 251" descr="81df9f902e063b6d9fd5ee54f50b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51" descr="81df9f902e063b6d9fd5ee54f50b24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987" t="195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95" cy="371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数据分析：</w:t>
            </w:r>
          </w:p>
          <w:p>
            <w:pPr>
              <w:rPr>
                <w:rFonts w:hint="eastAsia" w:hAnsi="Cambria Math" w:eastAsia="仿宋" w:cs="仿宋"/>
                <w:b w:val="0"/>
                <w:i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Au</m:t>
                </m:r>
                <m:r>
                  <m:rPr>
                    <m:sty m:val="p"/>
                  </m:rPr>
                  <w:rPr>
                    <w:rFonts w:hint="default" w:ascii="Cambria Math" w:hAnsi="Cambria Math" w:eastAsia="仿宋" w:cs="仿宋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|</m:t>
                </m:r>
                <m:f>
                  <m:fPr>
                    <m:ctrlPr>
                      <w:rPr>
                        <w:rFonts w:hint="default" w:ascii="Cambria Math" w:hAnsi="Cambria Math" w:eastAsia="仿宋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fe</m:t>
                        </m: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仿宋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∑</m:t>
                        </m:r>
                        <m:ctrl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eastAsia="仿宋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|</m:t>
                </m:r>
              </m:oMath>
            </m:oMathPara>
          </w:p>
          <w:p>
            <w:pPr>
              <w:rPr>
                <w:rFonts w:hint="default" w:hAnsi="Cambria Math" w:cs="仿宋"/>
                <w:i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仿宋"/>
                        <w:i/>
                        <w:color w:val="000000"/>
                        <w:kern w:val="0"/>
                        <w:sz w:val="21"/>
                        <w:szCs w:val="21"/>
                        <w:lang w:val="en-US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  <m:t>Q</m:t>
                    </m:r>
                    <m:ctrlPr>
                      <w:rPr>
                        <w:rFonts w:ascii="Cambria Math" w:hAnsi="Cambria Math" w:cs="仿宋"/>
                        <w:i/>
                        <w:color w:val="000000"/>
                        <w:kern w:val="0"/>
                        <w:sz w:val="21"/>
                        <w:szCs w:val="21"/>
                        <w:lang w:val="en-US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  <m:t>0</m:t>
                    </m:r>
                    <m:ctrlPr>
                      <w:rPr>
                        <w:rFonts w:ascii="Cambria Math" w:hAnsi="Cambria Math" w:cs="仿宋"/>
                        <w:i/>
                        <w:color w:val="000000"/>
                        <w:kern w:val="0"/>
                        <w:sz w:val="21"/>
                        <w:szCs w:val="21"/>
                        <w:lang w:val="en-US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仿宋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仿宋"/>
                        <w:i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  <m:t>1</m:t>
                    </m:r>
                    <m:ctrlPr>
                      <w:rPr>
                        <w:rFonts w:hint="default" w:ascii="Cambria Math" w:hAnsi="Cambria Math" w:cs="仿宋"/>
                        <w:i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仿宋"/>
                        <w:color w:val="000000"/>
                        <w:kern w:val="0"/>
                        <w:sz w:val="21"/>
                        <w:szCs w:val="21"/>
                        <w:lang w:val="en-US" w:bidi="ar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  <m:t>L</m:t>
                    </m:r>
                    <m:sSub>
                      <m:sSubPr>
                        <m:ctrlPr>
                          <w:rPr>
                            <w:rFonts w:hint="default" w:ascii="Cambria Math" w:hAnsi="Cambria Math" w:cs="仿宋"/>
                            <w:i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g</m:t>
                        </m:r>
                        <m:ctrlPr>
                          <w:rPr>
                            <w:rFonts w:hint="default" w:ascii="Cambria Math" w:hAnsi="Cambria Math" w:cs="仿宋"/>
                            <w:i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∑</m:t>
                        </m:r>
                        <m:ctrlPr>
                          <w:rPr>
                            <w:rFonts w:hint="default" w:ascii="Cambria Math" w:hAnsi="Cambria Math" w:cs="仿宋"/>
                            <w:i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仿宋"/>
                        <w:i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</m:ctrlPr>
                  </m:den>
                </m:f>
              </m:oMath>
            </m:oMathPara>
          </w:p>
          <w:p>
            <w:pPr>
              <w:rPr>
                <w:rFonts w:hint="eastAsia" w:hAnsi="Cambria Math" w:cs="仿宋"/>
                <w:i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仿宋" w:cs="仿宋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BW=</m:t>
                </m:r>
                <m:f>
                  <m:fPr>
                    <m:ctrlPr>
                      <w:rPr>
                        <w:rFonts w:hint="eastAsia" w:ascii="仿宋" w:hAnsi="仿宋" w:eastAsia="仿宋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仿宋" w:hAnsi="仿宋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g</m:t>
                        </m:r>
                        <m:ctrlPr>
                          <w:rPr>
                            <w:rFonts w:hint="eastAsia" w:ascii="仿宋" w:hAnsi="仿宋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∑</m:t>
                        </m:r>
                        <m:ctrlPr>
                          <w:rPr>
                            <w:rFonts w:hint="eastAsia" w:ascii="仿宋" w:hAnsi="仿宋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ub>
                    </m:sSub>
                    <m:ctrlPr>
                      <w:rPr>
                        <w:rFonts w:hint="eastAsia" w:ascii="仿宋" w:hAnsi="仿宋" w:eastAsia="仿宋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仿宋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仿宋"/>
                        <w:color w:val="000000"/>
                        <w:kern w:val="0"/>
                        <w:sz w:val="21"/>
                        <w:szCs w:val="21"/>
                        <w:lang w:val="en-US" w:bidi="ar"/>
                      </w:rPr>
                      <m:t>π</m:t>
                    </m:r>
                    <m:sSub>
                      <m:sSubPr>
                        <m:ctrlPr>
                          <w:rPr>
                            <w:rFonts w:hint="eastAsia" w:ascii="仿宋" w:hAnsi="仿宋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C</m:t>
                        </m:r>
                        <m:ctrlPr>
                          <w:rPr>
                            <w:rFonts w:hint="eastAsia" w:ascii="仿宋" w:hAnsi="仿宋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  <m:t>∑</m:t>
                        </m:r>
                        <m:ctrlPr>
                          <w:rPr>
                            <w:rFonts w:hint="eastAsia" w:ascii="仿宋" w:hAnsi="仿宋" w:eastAsia="仿宋" w:cs="仿宋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"/>
                          </w:rPr>
                        </m:ctrlPr>
                      </m:sub>
                    </m:sSub>
                    <m:ctrlPr>
                      <w:rPr>
                        <w:rFonts w:hint="eastAsia" w:ascii="仿宋" w:hAnsi="仿宋" w:eastAsia="仿宋" w:cs="仿宋"/>
                        <w:color w:val="000000"/>
                        <w:kern w:val="0"/>
                        <w:sz w:val="21"/>
                        <w:szCs w:val="21"/>
                        <w:lang w:val="en-US" w:eastAsia="zh-CN" w:bidi="ar"/>
                      </w:rPr>
                    </m:ctrlPr>
                  </m:den>
                </m:f>
              </m:oMath>
            </m:oMathPara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（1）当不接R25时，集电极负载电阻增大，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g</m:t>
                  </m:r>
                  <m:ctrl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∑</m:t>
                  </m:r>
                  <m:ctrl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lang w:val="en-US" w:eastAsia="zh-CN" w:bidi="ar"/>
              </w:rPr>
              <w:t>减小，故Au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增大, 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Q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增大，BW减小，曲线变“瘦”；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（2）当接入R25 时，集电极负载电阻减小，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g</m:t>
                  </m:r>
                  <m:ctrl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∑</m:t>
                  </m:r>
                  <m:ctrlPr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lang w:val="en-US" w:eastAsia="zh-CN" w:bidi="ar"/>
              </w:rPr>
              <w:t>增大，故Au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减小, </w:t>
            </w: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Q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000000"/>
                      <w:kern w:val="0"/>
                      <w:sz w:val="21"/>
                      <w:szCs w:val="21"/>
                      <w:lang w:val="en-US" w:eastAsia="zh-CN" w:bidi="ar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000000"/>
                      <w:kern w:val="0"/>
                      <w:sz w:val="21"/>
                      <w:szCs w:val="21"/>
                      <w:lang w:val="en-US" w:bidi="ar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减小，BW增大，曲线变“胖”；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深圳大学学生实验报告用纸</w:t>
      </w:r>
    </w:p>
    <w:tbl>
      <w:tblPr>
        <w:tblStyle w:val="4"/>
        <w:tblW w:w="954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6" w:hRule="atLeast"/>
        </w:trPr>
        <w:tc>
          <w:tcPr>
            <w:tcW w:w="9540" w:type="dxa"/>
            <w:noWrap w:val="0"/>
            <w:vAlign w:val="top"/>
          </w:tcPr>
          <w:p>
            <w:pPr>
              <w:rPr>
                <w:rFonts w:hint="eastAsia"/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</w:rPr>
              <w:t>实验结论</w:t>
            </w:r>
            <w:r>
              <w:rPr>
                <w:rFonts w:hint="eastAsia"/>
                <w:b/>
                <w:sz w:val="28"/>
                <w:lang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（1）由实验可知：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集电极负载增大，幅频特性幅值Au增大，Q值增大，带宽减小，曲线变“瘦”；集电极负载增大，幅频特性幅值Au减小，Q值减小，带宽增大，曲线变“胖”；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（2）实际绘制出的幅频特性曲线并不是很对称，可能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受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实际电路元件参数影响。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原始数据：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4053205" cy="5404485"/>
                  <wp:effectExtent l="0" t="0" r="4445" b="5715"/>
                  <wp:docPr id="5" name="图片 5" descr="05984f31e5d0dd3d91c2c599c4d7c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5984f31e5d0dd3d91c2c599c4d7cd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205" cy="540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3" w:hRule="atLeast"/>
        </w:trPr>
        <w:tc>
          <w:tcPr>
            <w:tcW w:w="9540" w:type="dxa"/>
            <w:noWrap w:val="0"/>
            <w:vAlign w:val="top"/>
          </w:tcPr>
          <w:p>
            <w:pPr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28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</w:rPr>
              <w:t xml:space="preserve">                                             </w:t>
            </w: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95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AD42E2"/>
    <w:rsid w:val="000053C9"/>
    <w:rsid w:val="00082175"/>
    <w:rsid w:val="00096447"/>
    <w:rsid w:val="000A4874"/>
    <w:rsid w:val="000B0A78"/>
    <w:rsid w:val="000D766B"/>
    <w:rsid w:val="00150CB9"/>
    <w:rsid w:val="00164806"/>
    <w:rsid w:val="001C2873"/>
    <w:rsid w:val="001F2623"/>
    <w:rsid w:val="00211059"/>
    <w:rsid w:val="002144ED"/>
    <w:rsid w:val="002B02D0"/>
    <w:rsid w:val="002B7E38"/>
    <w:rsid w:val="002F33B6"/>
    <w:rsid w:val="003509F7"/>
    <w:rsid w:val="003856D3"/>
    <w:rsid w:val="003A60E6"/>
    <w:rsid w:val="003D7136"/>
    <w:rsid w:val="00453F91"/>
    <w:rsid w:val="00456E8A"/>
    <w:rsid w:val="00472639"/>
    <w:rsid w:val="00473B69"/>
    <w:rsid w:val="004B63E7"/>
    <w:rsid w:val="00534E79"/>
    <w:rsid w:val="00537530"/>
    <w:rsid w:val="00590090"/>
    <w:rsid w:val="0062278A"/>
    <w:rsid w:val="006745D6"/>
    <w:rsid w:val="0068062D"/>
    <w:rsid w:val="006B6439"/>
    <w:rsid w:val="006D015D"/>
    <w:rsid w:val="00771349"/>
    <w:rsid w:val="007D2A88"/>
    <w:rsid w:val="00830A50"/>
    <w:rsid w:val="00860295"/>
    <w:rsid w:val="00975D73"/>
    <w:rsid w:val="009C6480"/>
    <w:rsid w:val="00A02FA7"/>
    <w:rsid w:val="00A3773B"/>
    <w:rsid w:val="00A96F0F"/>
    <w:rsid w:val="00AD42E2"/>
    <w:rsid w:val="00AF1ECD"/>
    <w:rsid w:val="00B058CE"/>
    <w:rsid w:val="00B3046B"/>
    <w:rsid w:val="00B51CD1"/>
    <w:rsid w:val="00B91209"/>
    <w:rsid w:val="00BA6E24"/>
    <w:rsid w:val="00D301C3"/>
    <w:rsid w:val="00D32996"/>
    <w:rsid w:val="00D97C9E"/>
    <w:rsid w:val="00E055F5"/>
    <w:rsid w:val="00EC54AC"/>
    <w:rsid w:val="00EF64E5"/>
    <w:rsid w:val="00F53630"/>
    <w:rsid w:val="00FA6F04"/>
    <w:rsid w:val="00FC7ABF"/>
    <w:rsid w:val="060F7B81"/>
    <w:rsid w:val="07BE6A92"/>
    <w:rsid w:val="0CA53CC2"/>
    <w:rsid w:val="13E2628C"/>
    <w:rsid w:val="18DA0B3E"/>
    <w:rsid w:val="19234FFB"/>
    <w:rsid w:val="1A1722F5"/>
    <w:rsid w:val="258F64DD"/>
    <w:rsid w:val="25E64DBD"/>
    <w:rsid w:val="390B19E8"/>
    <w:rsid w:val="396C7B07"/>
    <w:rsid w:val="3C0D641A"/>
    <w:rsid w:val="43280A5D"/>
    <w:rsid w:val="50DE68E2"/>
    <w:rsid w:val="58A13B6D"/>
    <w:rsid w:val="5E895472"/>
    <w:rsid w:val="71A57789"/>
    <w:rsid w:val="742B0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244</Words>
  <Characters>1393</Characters>
  <Lines>11</Lines>
  <Paragraphs>3</Paragraphs>
  <TotalTime>1</TotalTime>
  <ScaleCrop>false</ScaleCrop>
  <LinksUpToDate>false</LinksUpToDate>
  <CharactersWithSpaces>1634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2019-05-04T15:58:00Z</dcterms:created>
  <dc:creator>d</dc:creator>
  <cp:lastModifiedBy>abinea</cp:lastModifiedBy>
  <cp:lastPrinted>2006-09-04T06:46:00Z</cp:lastPrinted>
  <dcterms:modified xsi:type="dcterms:W3CDTF">2022-05-26T09:02:51Z</dcterms:modified>
  <dc:title>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D57A04A62B764694A167D9D47DFF80DC</vt:lpwstr>
  </property>
</Properties>
</file>