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color w:val="167A83"/>
          <w:sz w:val="20"/>
        </w:rPr>
        <w:t>PRODUCT REQUIREMENTS DOCUMENT</w:t>
      </w:r>
    </w:p>
    <w:p>
      <w:pPr>
        <w:spacing w:after="120"/>
      </w:pPr>
      <w:r>
        <w:rPr>
          <w:rFonts w:ascii="Calibri" w:hAnsi="Calibri"/>
          <w:b/>
          <w:color w:val="0B2545"/>
          <w:sz w:val="56"/>
        </w:rPr>
        <w:t>EFRM Rule Optimization Agent</w:t>
      </w:r>
    </w:p>
    <w:p>
      <w:pPr>
        <w:spacing w:after="360"/>
      </w:pPr>
      <w:r>
        <w:rPr>
          <w:rFonts w:ascii="Calibri" w:hAnsi="Calibri"/>
          <w:color w:val="5B677A"/>
          <w:sz w:val="30"/>
        </w:rPr>
        <w:t>Enterprise scope, workflow, data contracts and implementation baseline</w:t>
      </w:r>
    </w:p>
    <w:tbl>
      <w:tblPr>
        <w:tblW w:type="dxa" w:w="9360"/>
        <w:jc w:val="left"/>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8"/>
              </w:rPr>
              <w:t>Document field</w:t>
            </w:r>
          </w:p>
        </w:tc>
        <w:tc>
          <w:tcPr>
            <w:tcW w:type="dxa" w:w="71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8"/>
              </w:rPr>
              <w:t>Value</w:t>
            </w:r>
          </w:p>
        </w:tc>
      </w:tr>
      <w:tr>
        <w:trPr>
          <w:cantSplit/>
        </w:trPr>
        <w:tc>
          <w:tcPr>
            <w:tcW w:type="dxa" w:w="2200"/>
            <w:shd w:fill="FFFFFF"/>
          </w:tcPr>
          <w:p>
            <w:pPr>
              <w:spacing w:after="0"/>
            </w:pPr>
            <w:r>
              <w:rPr>
                <w:rFonts w:ascii="Calibri" w:hAnsi="Calibri"/>
                <w:color w:val="1F2937"/>
                <w:sz w:val="18"/>
              </w:rPr>
              <w:t>Document status</w:t>
            </w:r>
          </w:p>
        </w:tc>
        <w:tc>
          <w:tcPr>
            <w:tcW w:type="dxa" w:w="7160"/>
            <w:shd w:fill="FFFFFF"/>
          </w:tcPr>
          <w:p>
            <w:pPr>
              <w:spacing w:after="0"/>
            </w:pPr>
            <w:r>
              <w:rPr>
                <w:rFonts w:ascii="Calibri" w:hAnsi="Calibri"/>
                <w:color w:val="1F2937"/>
                <w:sz w:val="18"/>
              </w:rPr>
              <w:t>Approved architecture baseline for implementation planning</w:t>
            </w:r>
          </w:p>
        </w:tc>
      </w:tr>
      <w:tr>
        <w:trPr>
          <w:cantSplit/>
        </w:trPr>
        <w:tc>
          <w:tcPr>
            <w:tcW w:type="dxa" w:w="2200"/>
            <w:shd w:fill="F4F7FA"/>
          </w:tcPr>
          <w:p>
            <w:pPr>
              <w:spacing w:after="0"/>
            </w:pPr>
            <w:r>
              <w:rPr>
                <w:rFonts w:ascii="Calibri" w:hAnsi="Calibri"/>
                <w:color w:val="1F2937"/>
                <w:sz w:val="18"/>
              </w:rPr>
              <w:t>Primary audience</w:t>
            </w:r>
          </w:p>
        </w:tc>
        <w:tc>
          <w:tcPr>
            <w:tcW w:type="dxa" w:w="7160"/>
            <w:shd w:fill="F4F7FA"/>
          </w:tcPr>
          <w:p>
            <w:pPr>
              <w:spacing w:after="0"/>
            </w:pPr>
            <w:r>
              <w:rPr>
                <w:rFonts w:ascii="Calibri" w:hAnsi="Calibri"/>
                <w:color w:val="1F2937"/>
                <w:sz w:val="18"/>
              </w:rPr>
              <w:t>Product owners, fraud operations, architects, engineering, risk and governance teams</w:t>
            </w:r>
          </w:p>
        </w:tc>
      </w:tr>
      <w:tr>
        <w:trPr>
          <w:cantSplit/>
        </w:trPr>
        <w:tc>
          <w:tcPr>
            <w:tcW w:type="dxa" w:w="2200"/>
            <w:shd w:fill="FFFFFF"/>
          </w:tcPr>
          <w:p>
            <w:pPr>
              <w:spacing w:after="0"/>
            </w:pPr>
            <w:r>
              <w:rPr>
                <w:rFonts w:ascii="Calibri" w:hAnsi="Calibri"/>
                <w:color w:val="1F2937"/>
                <w:sz w:val="18"/>
              </w:rPr>
              <w:t>Phase 1 authority</w:t>
            </w:r>
          </w:p>
        </w:tc>
        <w:tc>
          <w:tcPr>
            <w:tcW w:type="dxa" w:w="7160"/>
            <w:shd w:fill="FFFFFF"/>
          </w:tcPr>
          <w:p>
            <w:pPr>
              <w:spacing w:after="0"/>
            </w:pPr>
            <w:r>
              <w:rPr>
                <w:rFonts w:ascii="Calibri" w:hAnsi="Calibri"/>
                <w:color w:val="1F2937"/>
                <w:sz w:val="18"/>
              </w:rPr>
              <w:t>Recommendation Only; no production rule write</w:t>
            </w:r>
          </w:p>
        </w:tc>
      </w:tr>
      <w:tr>
        <w:trPr>
          <w:cantSplit/>
        </w:trPr>
        <w:tc>
          <w:tcPr>
            <w:tcW w:type="dxa" w:w="2200"/>
            <w:shd w:fill="F4F7FA"/>
          </w:tcPr>
          <w:p>
            <w:pPr>
              <w:spacing w:after="0"/>
            </w:pPr>
            <w:r>
              <w:rPr>
                <w:rFonts w:ascii="Calibri" w:hAnsi="Calibri"/>
                <w:color w:val="1F2937"/>
                <w:sz w:val="18"/>
              </w:rPr>
              <w:t>Agent runtime</w:t>
            </w:r>
          </w:p>
        </w:tc>
        <w:tc>
          <w:tcPr>
            <w:tcW w:type="dxa" w:w="7160"/>
            <w:shd w:fill="F4F7FA"/>
          </w:tcPr>
          <w:p>
            <w:pPr>
              <w:spacing w:after="0"/>
            </w:pPr>
            <w:r>
              <w:rPr>
                <w:rFonts w:ascii="Calibri" w:hAnsi="Calibri"/>
                <w:color w:val="1F2937"/>
                <w:sz w:val="18"/>
              </w:rPr>
              <w:t>Python + FastAPI + LangGraph + predefined SQL/Python tools</w:t>
            </w:r>
          </w:p>
        </w:tc>
      </w:tr>
      <w:tr>
        <w:trPr>
          <w:cantSplit/>
        </w:trPr>
        <w:tc>
          <w:tcPr>
            <w:tcW w:type="dxa" w:w="2200"/>
            <w:shd w:fill="FFFFFF"/>
          </w:tcPr>
          <w:p>
            <w:pPr>
              <w:spacing w:after="0"/>
            </w:pPr>
            <w:r>
              <w:rPr>
                <w:rFonts w:ascii="Calibri" w:hAnsi="Calibri"/>
                <w:color w:val="1F2937"/>
                <w:sz w:val="18"/>
              </w:rPr>
              <w:t>Database baseline</w:t>
            </w:r>
          </w:p>
        </w:tc>
        <w:tc>
          <w:tcPr>
            <w:tcW w:type="dxa" w:w="7160"/>
            <w:shd w:fill="FFFFFF"/>
          </w:tcPr>
          <w:p>
            <w:pPr>
              <w:spacing w:after="0"/>
            </w:pPr>
            <w:r>
              <w:rPr>
                <w:rFonts w:ascii="Calibri" w:hAnsi="Calibri"/>
                <w:color w:val="1F2937"/>
                <w:sz w:val="18"/>
              </w:rPr>
              <w:t>Agentic PostgreSQL v1.1: agentic schema + langgraph_ckpt schema</w:t>
            </w:r>
          </w:p>
        </w:tc>
      </w:tr>
      <w:tr>
        <w:trPr>
          <w:cantSplit/>
        </w:trPr>
        <w:tc>
          <w:tcPr>
            <w:tcW w:type="dxa" w:w="2200"/>
            <w:shd w:fill="F4F7FA"/>
          </w:tcPr>
          <w:p>
            <w:pPr>
              <w:spacing w:after="0"/>
            </w:pPr>
            <w:r>
              <w:rPr>
                <w:rFonts w:ascii="Calibri" w:hAnsi="Calibri"/>
                <w:color w:val="1F2937"/>
                <w:sz w:val="18"/>
              </w:rPr>
              <w:t>Last updated</w:t>
            </w:r>
          </w:p>
        </w:tc>
        <w:tc>
          <w:tcPr>
            <w:tcW w:type="dxa" w:w="7160"/>
            <w:shd w:fill="F4F7FA"/>
          </w:tcPr>
          <w:p>
            <w:pPr>
              <w:spacing w:after="0"/>
            </w:pPr>
            <w:r>
              <w:rPr>
                <w:rFonts w:ascii="Calibri" w:hAnsi="Calibri"/>
                <w:color w:val="1F2937"/>
                <w:sz w:val="18"/>
              </w:rPr>
              <w:t>27 August 2026</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12" w:space="0" w:color="167A83"/>
              <w:left w:val="single" w:sz="12" w:space="0" w:color="167A83"/>
              <w:bottom w:val="single" w:sz="12" w:space="0" w:color="167A83"/>
              <w:right w:val="single" w:sz="12" w:space="0" w:color="167A83"/>
              <w:insideH w:val="single" w:sz="12" w:space="0" w:color="167A83"/>
              <w:insideV w:val="single" w:sz="12" w:space="0" w:color="167A83"/>
            </w:tcBorders>
            <w:vAlign w:val="center"/>
            <w:shd w:fill="E8F4F3"/>
          </w:tcPr>
          <w:p>
            <w:pPr>
              <w:spacing w:after="0"/>
            </w:pPr>
            <w:r>
              <w:rPr>
                <w:rFonts w:ascii="Calibri" w:hAnsi="Calibri"/>
                <w:b/>
                <w:color w:val="167A83"/>
                <w:sz w:val="21"/>
              </w:rPr>
              <w:t xml:space="preserve">Executive decision  </w:t>
            </w:r>
            <w:r>
              <w:rPr>
                <w:rFonts w:ascii="Calibri" w:hAnsi="Calibri"/>
                <w:color w:val="1F2937"/>
                <w:sz w:val="21"/>
              </w:rPr>
              <w:t>Approve a separate, institution-agnostic Rule Optimization Agent that analyzes finalized false-positive cases, creates traceable evidence, and sends validated recommendations to human reviewers. Production rule changes remain outside the agent.</w:t>
            </w:r>
          </w:p>
        </w:tc>
      </w:tr>
    </w:tbl>
    <w:p>
      <w:pPr>
        <w:spacing w:after="40"/>
      </w:pPr>
    </w:p>
    <w:p>
      <w:pPr>
        <w:pStyle w:val="Heading1"/>
      </w:pPr>
      <w:r>
        <w:rPr>
          <w:rFonts w:ascii="Calibri" w:hAnsi="Calibri"/>
          <w:color w:val="1F2937"/>
          <w:sz w:val="21"/>
        </w:rPr>
        <w:t>1. Executive summary</w:t>
      </w:r>
    </w:p>
    <w:p>
      <w:r>
        <w:rPr>
          <w:rFonts w:ascii="Calibri" w:hAnsi="Calibri"/>
          <w:color w:val="1F2937"/>
          <w:sz w:val="21"/>
        </w:rPr>
        <w:t>The Rule Optimization Agent is a background analytical service inside the shared Agentic Platform. It is not part of the existing EFRM Rule Engine and it does not generate alerts. A run starts when a case is finally mapped to the institution’s configured FALSE_POSITIVE outcome. The agent traces that case to alerts, results, matches and exact rule versions, then evaluates only the rules connected to that case.</w:t>
      </w:r>
    </w:p>
    <w:p>
      <w:r>
        <w:rPr>
          <w:rFonts w:ascii="Calibri" w:hAnsi="Calibri"/>
          <w:color w:val="1F2937"/>
          <w:sz w:val="21"/>
        </w:rPr>
        <w:t>The agent reads authoritative EFRM data through a read-only database boundary. Predefined, parameterized SQL tools retrieve data; deterministic Python and SQL calculate metrics; LangGraph controls the workflow; and an optional LLM turns validated findings into a clear explanation. The recommendation is stored with evidence, limitations, hashes, versions and audit events for human review.</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12" w:space="0" w:color="1F5E86"/>
              <w:left w:val="single" w:sz="12" w:space="0" w:color="1F5E86"/>
              <w:bottom w:val="single" w:sz="12" w:space="0" w:color="1F5E86"/>
              <w:right w:val="single" w:sz="12" w:space="0" w:color="1F5E86"/>
              <w:insideH w:val="single" w:sz="12" w:space="0" w:color="1F5E86"/>
              <w:insideV w:val="single" w:sz="12" w:space="0" w:color="1F5E86"/>
            </w:tcBorders>
            <w:vAlign w:val="center"/>
            <w:shd w:fill="EAF2F7"/>
          </w:tcPr>
          <w:p>
            <w:pPr>
              <w:spacing w:after="0"/>
            </w:pPr>
            <w:r>
              <w:rPr>
                <w:rFonts w:ascii="Calibri" w:hAnsi="Calibri"/>
                <w:b/>
                <w:color w:val="1F5E86"/>
                <w:sz w:val="21"/>
              </w:rPr>
              <w:t xml:space="preserve">Plain-English explanation  </w:t>
            </w:r>
            <w:r>
              <w:rPr>
                <w:rFonts w:ascii="Calibri" w:hAnsi="Calibri"/>
                <w:color w:val="1F2937"/>
                <w:sz w:val="21"/>
              </w:rPr>
              <w:t>The agent finds rules that produced false-positive cases, studies why they may be doing so, and gives a human a defensible recommendation. It never changes a live rule by itself.</w:t>
            </w:r>
          </w:p>
        </w:tc>
      </w:tr>
    </w:tbl>
    <w:p>
      <w:pPr>
        <w:spacing w:after="40"/>
      </w:pPr>
    </w:p>
    <w:p>
      <w:pPr>
        <w:pStyle w:val="Heading1"/>
      </w:pPr>
      <w:r>
        <w:rPr>
          <w:rFonts w:ascii="Calibri" w:hAnsi="Calibri"/>
          <w:color w:val="1F2937"/>
          <w:sz w:val="21"/>
        </w:rPr>
        <w:t>2. Problem, outcomes and principles</w:t>
      </w:r>
    </w:p>
    <w:p>
      <w:pPr>
        <w:pStyle w:val="Heading2"/>
      </w:pPr>
      <w:r>
        <w:rPr>
          <w:rFonts w:ascii="Calibri" w:hAnsi="Calibri"/>
          <w:color w:val="1F2937"/>
          <w:sz w:val="21"/>
        </w:rPr>
        <w:t>2.1 Problem statement</w:t>
      </w:r>
    </w:p>
    <w:p>
      <w:r>
        <w:rPr>
          <w:rFonts w:ascii="Calibri" w:hAnsi="Calibri"/>
          <w:color w:val="1F2937"/>
          <w:sz w:val="21"/>
        </w:rPr>
        <w:t>Transaction-monitoring rules are binary: a rule matches or does not match. A match may still result in a case that an investigator finally closes as a false positive. Those finalized outcomes are the strongest Phase 1 signal for prioritizing rule review. Today, the evidence is distributed across case, alert, result, match, configuration and outcome records. The agent makes that evidence queryable, reproducible and actionable.</w:t>
      </w:r>
    </w:p>
    <w:p>
      <w:pPr>
        <w:pStyle w:val="Heading2"/>
      </w:pPr>
      <w:r>
        <w:rPr>
          <w:rFonts w:ascii="Calibri" w:hAnsi="Calibri"/>
          <w:color w:val="1F2937"/>
          <w:sz w:val="21"/>
        </w:rPr>
        <w:t>2.2 Business outcomes</w:t>
      </w:r>
    </w:p>
    <w:p>
      <w:pPr>
        <w:numPr>
          <w:ilvl w:val="0"/>
          <w:numId w:val="4"/>
        </w:numPr>
        <w:spacing w:after="60"/>
        <w:ind w:left="403" w:hanging="259"/>
      </w:pPr>
      <w:r>
        <w:rPr>
          <w:rFonts w:ascii="Calibri" w:hAnsi="Calibri"/>
          <w:color w:val="1F2937"/>
          <w:sz w:val="20"/>
        </w:rPr>
        <w:t>Reduce analyst time spent finding the rules behind false-positive cases.</w:t>
      </w:r>
    </w:p>
    <w:p>
      <w:pPr>
        <w:numPr>
          <w:ilvl w:val="0"/>
          <w:numId w:val="4"/>
        </w:numPr>
        <w:spacing w:after="60"/>
        <w:ind w:left="403" w:hanging="259"/>
      </w:pPr>
      <w:r>
        <w:rPr>
          <w:rFonts w:ascii="Calibri" w:hAnsi="Calibri"/>
          <w:color w:val="1F2937"/>
          <w:sz w:val="20"/>
        </w:rPr>
        <w:t>Provide consistent, institution-configurable health, decay, threshold and overlap analysis.</w:t>
      </w:r>
    </w:p>
    <w:p>
      <w:pPr>
        <w:numPr>
          <w:ilvl w:val="0"/>
          <w:numId w:val="4"/>
        </w:numPr>
        <w:spacing w:after="60"/>
        <w:ind w:left="403" w:hanging="259"/>
      </w:pPr>
      <w:r>
        <w:rPr>
          <w:rFonts w:ascii="Calibri" w:hAnsi="Calibri"/>
          <w:color w:val="1F2937"/>
          <w:sz w:val="20"/>
        </w:rPr>
        <w:t>Give fraud and risk teams a recommendation with evidence instead of an unexplained score.</w:t>
      </w:r>
    </w:p>
    <w:p>
      <w:pPr>
        <w:numPr>
          <w:ilvl w:val="0"/>
          <w:numId w:val="4"/>
        </w:numPr>
        <w:spacing w:after="60"/>
        <w:ind w:left="403" w:hanging="259"/>
      </w:pPr>
      <w:r>
        <w:rPr>
          <w:rFonts w:ascii="Calibri" w:hAnsi="Calibri"/>
          <w:color w:val="1F2937"/>
          <w:sz w:val="20"/>
        </w:rPr>
        <w:t>Preserve a complete audit trail so every claim can be reconstructed later.</w:t>
      </w:r>
    </w:p>
    <w:p>
      <w:pPr>
        <w:numPr>
          <w:ilvl w:val="0"/>
          <w:numId w:val="4"/>
        </w:numPr>
        <w:spacing w:after="60"/>
        <w:ind w:left="403" w:hanging="259"/>
      </w:pPr>
      <w:r>
        <w:rPr>
          <w:rFonts w:ascii="Calibri" w:hAnsi="Calibri"/>
          <w:color w:val="1F2937"/>
          <w:sz w:val="20"/>
        </w:rPr>
        <w:t>Create a safe foundation for future candidate testing without granting production write authority.</w:t>
      </w:r>
    </w:p>
    <w:p>
      <w:pPr>
        <w:pStyle w:val="Heading2"/>
      </w:pPr>
      <w:r>
        <w:rPr>
          <w:rFonts w:ascii="Calibri" w:hAnsi="Calibri"/>
          <w:color w:val="1F2937"/>
          <w:sz w:val="21"/>
        </w:rPr>
        <w:t>2.3 Design principles</w:t>
      </w:r>
    </w:p>
    <w:p>
      <w:pPr>
        <w:numPr>
          <w:ilvl w:val="0"/>
          <w:numId w:val="4"/>
        </w:numPr>
        <w:spacing w:after="60"/>
        <w:ind w:left="403" w:hanging="259"/>
      </w:pPr>
      <w:r>
        <w:rPr>
          <w:rFonts w:ascii="Calibri" w:hAnsi="Calibri"/>
          <w:color w:val="1F2937"/>
          <w:sz w:val="20"/>
        </w:rPr>
        <w:t>Institution-agnostic and channel-agnostic: mappings, windows, thresholds, data scopes and policies are configuration.</w:t>
      </w:r>
    </w:p>
    <w:p>
      <w:pPr>
        <w:numPr>
          <w:ilvl w:val="0"/>
          <w:numId w:val="4"/>
        </w:numPr>
        <w:spacing w:after="60"/>
        <w:ind w:left="403" w:hanging="259"/>
      </w:pPr>
      <w:r>
        <w:rPr>
          <w:rFonts w:ascii="Calibri" w:hAnsi="Calibri"/>
          <w:color w:val="1F2937"/>
          <w:sz w:val="20"/>
        </w:rPr>
        <w:t>Evidence first: authoritative EFRM facts and deterministic calculations are the source of truth.</w:t>
      </w:r>
    </w:p>
    <w:p>
      <w:pPr>
        <w:numPr>
          <w:ilvl w:val="0"/>
          <w:numId w:val="4"/>
        </w:numPr>
        <w:spacing w:after="60"/>
        <w:ind w:left="403" w:hanging="259"/>
      </w:pPr>
      <w:r>
        <w:rPr>
          <w:rFonts w:ascii="Calibri" w:hAnsi="Calibri"/>
          <w:color w:val="1F2937"/>
          <w:sz w:val="20"/>
        </w:rPr>
        <w:t>Human approval: recommendations are advisory; existing governance owns production change.</w:t>
      </w:r>
    </w:p>
    <w:p>
      <w:pPr>
        <w:numPr>
          <w:ilvl w:val="0"/>
          <w:numId w:val="4"/>
        </w:numPr>
        <w:spacing w:after="60"/>
        <w:ind w:left="403" w:hanging="259"/>
      </w:pPr>
      <w:r>
        <w:rPr>
          <w:rFonts w:ascii="Calibri" w:hAnsi="Calibri"/>
          <w:color w:val="1F2937"/>
          <w:sz w:val="20"/>
        </w:rPr>
        <w:t>Reproducibility: immutable versions, hashes, cut-off times and source watermarks are recorded.</w:t>
      </w:r>
    </w:p>
    <w:p>
      <w:pPr>
        <w:numPr>
          <w:ilvl w:val="0"/>
          <w:numId w:val="4"/>
        </w:numPr>
        <w:spacing w:after="60"/>
        <w:ind w:left="403" w:hanging="259"/>
      </w:pPr>
      <w:r>
        <w:rPr>
          <w:rFonts w:ascii="Calibri" w:hAnsi="Calibri"/>
          <w:color w:val="1F2937"/>
          <w:sz w:val="20"/>
        </w:rPr>
        <w:t>Least privilege: EFRM access is read-only and the LLM receives minimized structured findings.</w:t>
      </w:r>
    </w:p>
    <w:p>
      <w:pPr>
        <w:numPr>
          <w:ilvl w:val="0"/>
          <w:numId w:val="4"/>
        </w:numPr>
        <w:spacing w:after="60"/>
        <w:ind w:left="403" w:hanging="259"/>
      </w:pPr>
      <w:r>
        <w:rPr>
          <w:rFonts w:ascii="Calibri" w:hAnsi="Calibri"/>
          <w:color w:val="1F2937"/>
          <w:sz w:val="20"/>
        </w:rPr>
        <w:t>Bounded data: snapshots are filtered and partitioned; full transaction populations are never loaded into graph memory.</w:t>
      </w:r>
    </w:p>
    <w:p>
      <w:pPr>
        <w:pStyle w:val="Heading1"/>
      </w:pPr>
      <w:r>
        <w:rPr>
          <w:rFonts w:ascii="Calibri" w:hAnsi="Calibri"/>
          <w:color w:val="1F2937"/>
          <w:sz w:val="21"/>
        </w:rPr>
        <w:t>3. Scope and authority</w:t>
      </w:r>
    </w:p>
    <w:p>
      <w:pPr>
        <w:pStyle w:val="Heading2"/>
      </w:pPr>
      <w:r>
        <w:rPr>
          <w:rFonts w:ascii="Calibri" w:hAnsi="Calibri"/>
          <w:color w:val="1F2937"/>
          <w:sz w:val="21"/>
        </w:rPr>
        <w:t>3.1 In scope for Phase 1</w:t>
      </w:r>
    </w:p>
    <w:tbl>
      <w:tblPr>
        <w:tblW w:type="dxa" w:w="9360"/>
        <w:jc w:val="left"/>
        <w:tblLayout w:type="fixed"/>
        <w:tblLook w:firstColumn="1" w:firstRow="1" w:lastColumn="0" w:lastRow="0" w:noHBand="0" w:noVBand="1" w:val="04A0"/>
        <w:tblInd w:w="120" w:type="dxa"/>
      </w:tblPr>
      <w:tblGrid>
        <w:gridCol w:w="1900"/>
        <w:gridCol w:w="5600"/>
        <w:gridCol w:w="1860"/>
      </w:tblGrid>
      <w:tr>
        <w:tc>
          <w:tcPr>
            <w:tcW w:type="dxa" w:w="19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Capability</w:t>
            </w:r>
          </w:p>
        </w:tc>
        <w:tc>
          <w:tcPr>
            <w:tcW w:type="dxa" w:w="56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Phase 1 behavior</w:t>
            </w:r>
          </w:p>
        </w:tc>
        <w:tc>
          <w:tcPr>
            <w:tcW w:type="dxa" w:w="18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Owner</w:t>
            </w:r>
          </w:p>
        </w:tc>
      </w:tr>
      <w:tr>
        <w:trPr>
          <w:cantSplit/>
        </w:trPr>
        <w:tc>
          <w:tcPr>
            <w:tcW w:type="dxa" w:w="1900"/>
            <w:shd w:fill="FFFFFF"/>
          </w:tcPr>
          <w:p>
            <w:pPr>
              <w:spacing w:after="0"/>
            </w:pPr>
            <w:r>
              <w:rPr>
                <w:rFonts w:ascii="Calibri" w:hAnsi="Calibri"/>
                <w:color w:val="1F2937"/>
                <w:sz w:val="16"/>
              </w:rPr>
              <w:t>False-positive intake</w:t>
            </w:r>
          </w:p>
        </w:tc>
        <w:tc>
          <w:tcPr>
            <w:tcW w:type="dxa" w:w="5600"/>
            <w:shd w:fill="FFFFFF"/>
          </w:tcPr>
          <w:p>
            <w:pPr>
              <w:spacing w:after="0"/>
            </w:pPr>
            <w:r>
              <w:rPr>
                <w:rFonts w:ascii="Calibri" w:hAnsi="Calibri"/>
                <w:color w:val="1F2937"/>
                <w:sz w:val="16"/>
              </w:rPr>
              <w:t>Find finalized eligible cases using a scheduled SQL poller; support future API/event intake.</w:t>
            </w:r>
          </w:p>
        </w:tc>
        <w:tc>
          <w:tcPr>
            <w:tcW w:type="dxa" w:w="1860"/>
            <w:shd w:fill="FFFFFF"/>
          </w:tcPr>
          <w:p>
            <w:pPr>
              <w:spacing w:after="0"/>
            </w:pPr>
            <w:r>
              <w:rPr>
                <w:rFonts w:ascii="Calibri" w:hAnsi="Calibri"/>
                <w:color w:val="1F2937"/>
                <w:sz w:val="16"/>
              </w:rPr>
              <w:t>Trigger detector</w:t>
            </w:r>
          </w:p>
        </w:tc>
      </w:tr>
      <w:tr>
        <w:trPr>
          <w:cantSplit/>
        </w:trPr>
        <w:tc>
          <w:tcPr>
            <w:tcW w:type="dxa" w:w="1900"/>
            <w:shd w:fill="F4F7FA"/>
          </w:tcPr>
          <w:p>
            <w:pPr>
              <w:spacing w:after="0"/>
            </w:pPr>
            <w:r>
              <w:rPr>
                <w:rFonts w:ascii="Calibri" w:hAnsi="Calibri"/>
                <w:color w:val="1F2937"/>
                <w:sz w:val="16"/>
              </w:rPr>
              <w:t>Case-to-rule lineage</w:t>
            </w:r>
          </w:p>
        </w:tc>
        <w:tc>
          <w:tcPr>
            <w:tcW w:type="dxa" w:w="5600"/>
            <w:shd w:fill="F4F7FA"/>
          </w:tcPr>
          <w:p>
            <w:pPr>
              <w:spacing w:after="0"/>
            </w:pPr>
            <w:r>
              <w:rPr>
                <w:rFonts w:ascii="Calibri" w:hAnsi="Calibri"/>
                <w:color w:val="1F2937"/>
                <w:sz w:val="16"/>
              </w:rPr>
              <w:t>Resolve case → alert → result → match → rule/version with source-aware identifiers.</w:t>
            </w:r>
          </w:p>
        </w:tc>
        <w:tc>
          <w:tcPr>
            <w:tcW w:type="dxa" w:w="1860"/>
            <w:shd w:fill="F4F7FA"/>
          </w:tcPr>
          <w:p>
            <w:pPr>
              <w:spacing w:after="0"/>
            </w:pPr>
            <w:r>
              <w:rPr>
                <w:rFonts w:ascii="Calibri" w:hAnsi="Calibri"/>
                <w:color w:val="1F2937"/>
                <w:sz w:val="16"/>
              </w:rPr>
              <w:t>Predefined SQL tools</w:t>
            </w:r>
          </w:p>
        </w:tc>
      </w:tr>
      <w:tr>
        <w:trPr>
          <w:cantSplit/>
        </w:trPr>
        <w:tc>
          <w:tcPr>
            <w:tcW w:type="dxa" w:w="1900"/>
            <w:shd w:fill="FFFFFF"/>
          </w:tcPr>
          <w:p>
            <w:pPr>
              <w:spacing w:after="0"/>
            </w:pPr>
            <w:r>
              <w:rPr>
                <w:rFonts w:ascii="Calibri" w:hAnsi="Calibri"/>
                <w:color w:val="1F2937"/>
                <w:sz w:val="16"/>
              </w:rPr>
              <w:t>Configuration resolution</w:t>
            </w:r>
          </w:p>
        </w:tc>
        <w:tc>
          <w:tcPr>
            <w:tcW w:type="dxa" w:w="5600"/>
            <w:shd w:fill="FFFFFF"/>
          </w:tcPr>
          <w:p>
            <w:pPr>
              <w:spacing w:after="0"/>
            </w:pPr>
            <w:r>
              <w:rPr>
                <w:rFonts w:ascii="Calibri" w:hAnsi="Calibri"/>
                <w:color w:val="1F2937"/>
                <w:sz w:val="16"/>
              </w:rPr>
              <w:t>Freeze historical/current rule, group, metric and policy context.</w:t>
            </w:r>
          </w:p>
        </w:tc>
        <w:tc>
          <w:tcPr>
            <w:tcW w:type="dxa" w:w="1860"/>
            <w:shd w:fill="FFFFFF"/>
          </w:tcPr>
          <w:p>
            <w:pPr>
              <w:spacing w:after="0"/>
            </w:pPr>
            <w:r>
              <w:rPr>
                <w:rFonts w:ascii="Calibri" w:hAnsi="Calibri"/>
                <w:color w:val="1F2937"/>
                <w:sz w:val="16"/>
              </w:rPr>
              <w:t>Configuration resolver</w:t>
            </w:r>
          </w:p>
        </w:tc>
      </w:tr>
      <w:tr>
        <w:trPr>
          <w:cantSplit/>
        </w:trPr>
        <w:tc>
          <w:tcPr>
            <w:tcW w:type="dxa" w:w="1900"/>
            <w:shd w:fill="F4F7FA"/>
          </w:tcPr>
          <w:p>
            <w:pPr>
              <w:spacing w:after="0"/>
            </w:pPr>
            <w:r>
              <w:rPr>
                <w:rFonts w:ascii="Calibri" w:hAnsi="Calibri"/>
                <w:color w:val="1F2937"/>
                <w:sz w:val="16"/>
              </w:rPr>
              <w:t>Historical snapshot</w:t>
            </w:r>
          </w:p>
        </w:tc>
        <w:tc>
          <w:tcPr>
            <w:tcW w:type="dxa" w:w="5600"/>
            <w:shd w:fill="F4F7FA"/>
          </w:tcPr>
          <w:p>
            <w:pPr>
              <w:spacing w:after="0"/>
            </w:pPr>
            <w:r>
              <w:rPr>
                <w:rFonts w:ascii="Calibri" w:hAnsi="Calibri"/>
                <w:color w:val="1F2937"/>
                <w:sz w:val="16"/>
              </w:rPr>
              <w:t>Build a bounded, partitioned population at a fixed cutoff.</w:t>
            </w:r>
          </w:p>
        </w:tc>
        <w:tc>
          <w:tcPr>
            <w:tcW w:type="dxa" w:w="1860"/>
            <w:shd w:fill="F4F7FA"/>
          </w:tcPr>
          <w:p>
            <w:pPr>
              <w:spacing w:after="0"/>
            </w:pPr>
            <w:r>
              <w:rPr>
                <w:rFonts w:ascii="Calibri" w:hAnsi="Calibri"/>
                <w:color w:val="1F2937"/>
                <w:sz w:val="16"/>
              </w:rPr>
              <w:t>Snapshot builder</w:t>
            </w:r>
          </w:p>
        </w:tc>
      </w:tr>
      <w:tr>
        <w:trPr>
          <w:cantSplit/>
        </w:trPr>
        <w:tc>
          <w:tcPr>
            <w:tcW w:type="dxa" w:w="1900"/>
            <w:shd w:fill="FFFFFF"/>
          </w:tcPr>
          <w:p>
            <w:pPr>
              <w:spacing w:after="0"/>
            </w:pPr>
            <w:r>
              <w:rPr>
                <w:rFonts w:ascii="Calibri" w:hAnsi="Calibri"/>
                <w:color w:val="1F2937"/>
                <w:sz w:val="16"/>
              </w:rPr>
              <w:t>Rule health</w:t>
            </w:r>
          </w:p>
        </w:tc>
        <w:tc>
          <w:tcPr>
            <w:tcW w:type="dxa" w:w="5600"/>
            <w:shd w:fill="FFFFFF"/>
          </w:tcPr>
          <w:p>
            <w:pPr>
              <w:spacing w:after="0"/>
            </w:pPr>
            <w:r>
              <w:rPr>
                <w:rFonts w:ascii="Calibri" w:hAnsi="Calibri"/>
                <w:color w:val="1F2937"/>
                <w:sz w:val="16"/>
              </w:rPr>
              <w:t>Calculate configurable volume, yield, false-positive and stability metrics.</w:t>
            </w:r>
          </w:p>
        </w:tc>
        <w:tc>
          <w:tcPr>
            <w:tcW w:type="dxa" w:w="1860"/>
            <w:shd w:fill="FFFFFF"/>
          </w:tcPr>
          <w:p>
            <w:pPr>
              <w:spacing w:after="0"/>
            </w:pPr>
            <w:r>
              <w:rPr>
                <w:rFonts w:ascii="Calibri" w:hAnsi="Calibri"/>
                <w:color w:val="1F2937"/>
                <w:sz w:val="16"/>
              </w:rPr>
              <w:t>Analytics tools</w:t>
            </w:r>
          </w:p>
        </w:tc>
      </w:tr>
      <w:tr>
        <w:trPr>
          <w:cantSplit/>
        </w:trPr>
        <w:tc>
          <w:tcPr>
            <w:tcW w:type="dxa" w:w="1900"/>
            <w:shd w:fill="F4F7FA"/>
          </w:tcPr>
          <w:p>
            <w:pPr>
              <w:spacing w:after="0"/>
            </w:pPr>
            <w:r>
              <w:rPr>
                <w:rFonts w:ascii="Calibri" w:hAnsi="Calibri"/>
                <w:color w:val="1F2937"/>
                <w:sz w:val="16"/>
              </w:rPr>
              <w:t>Rule decay</w:t>
            </w:r>
          </w:p>
        </w:tc>
        <w:tc>
          <w:tcPr>
            <w:tcW w:type="dxa" w:w="5600"/>
            <w:shd w:fill="F4F7FA"/>
          </w:tcPr>
          <w:p>
            <w:pPr>
              <w:spacing w:after="0"/>
            </w:pPr>
            <w:r>
              <w:rPr>
                <w:rFonts w:ascii="Calibri" w:hAnsi="Calibri"/>
                <w:color w:val="1F2937"/>
                <w:sz w:val="16"/>
              </w:rPr>
              <w:t>Compare baseline and recent periods with sample-size and persistence gates.</w:t>
            </w:r>
          </w:p>
        </w:tc>
        <w:tc>
          <w:tcPr>
            <w:tcW w:type="dxa" w:w="1860"/>
            <w:shd w:fill="F4F7FA"/>
          </w:tcPr>
          <w:p>
            <w:pPr>
              <w:spacing w:after="0"/>
            </w:pPr>
            <w:r>
              <w:rPr>
                <w:rFonts w:ascii="Calibri" w:hAnsi="Calibri"/>
                <w:color w:val="1F2937"/>
                <w:sz w:val="16"/>
              </w:rPr>
              <w:t>Decay analytics</w:t>
            </w:r>
          </w:p>
        </w:tc>
      </w:tr>
      <w:tr>
        <w:trPr>
          <w:cantSplit/>
        </w:trPr>
        <w:tc>
          <w:tcPr>
            <w:tcW w:type="dxa" w:w="1900"/>
            <w:shd w:fill="FFFFFF"/>
          </w:tcPr>
          <w:p>
            <w:pPr>
              <w:spacing w:after="0"/>
            </w:pPr>
            <w:r>
              <w:rPr>
                <w:rFonts w:ascii="Calibri" w:hAnsi="Calibri"/>
                <w:color w:val="1F2937"/>
                <w:sz w:val="16"/>
              </w:rPr>
              <w:t>Threshold review</w:t>
            </w:r>
          </w:p>
        </w:tc>
        <w:tc>
          <w:tcPr>
            <w:tcW w:type="dxa" w:w="5600"/>
            <w:shd w:fill="FFFFFF"/>
          </w:tcPr>
          <w:p>
            <w:pPr>
              <w:spacing w:after="0"/>
            </w:pPr>
            <w:r>
              <w:rPr>
                <w:rFonts w:ascii="Calibri" w:hAnsi="Calibri"/>
                <w:color w:val="1F2937"/>
                <w:sz w:val="16"/>
              </w:rPr>
              <w:t>Run sensitivity analysis around configured threshold values.</w:t>
            </w:r>
          </w:p>
        </w:tc>
        <w:tc>
          <w:tcPr>
            <w:tcW w:type="dxa" w:w="1860"/>
            <w:shd w:fill="FFFFFF"/>
          </w:tcPr>
          <w:p>
            <w:pPr>
              <w:spacing w:after="0"/>
            </w:pPr>
            <w:r>
              <w:rPr>
                <w:rFonts w:ascii="Calibri" w:hAnsi="Calibri"/>
                <w:color w:val="1F2937"/>
                <w:sz w:val="16"/>
              </w:rPr>
              <w:t>Threshold analytics</w:t>
            </w:r>
          </w:p>
        </w:tc>
      </w:tr>
      <w:tr>
        <w:trPr>
          <w:cantSplit/>
        </w:trPr>
        <w:tc>
          <w:tcPr>
            <w:tcW w:type="dxa" w:w="1900"/>
            <w:shd w:fill="F4F7FA"/>
          </w:tcPr>
          <w:p>
            <w:pPr>
              <w:spacing w:after="0"/>
            </w:pPr>
            <w:r>
              <w:rPr>
                <w:rFonts w:ascii="Calibri" w:hAnsi="Calibri"/>
                <w:color w:val="1F2937"/>
                <w:sz w:val="16"/>
              </w:rPr>
              <w:t>Overlap/gap review</w:t>
            </w:r>
          </w:p>
        </w:tc>
        <w:tc>
          <w:tcPr>
            <w:tcW w:type="dxa" w:w="5600"/>
            <w:shd w:fill="F4F7FA"/>
          </w:tcPr>
          <w:p>
            <w:pPr>
              <w:spacing w:after="0"/>
            </w:pPr>
            <w:r>
              <w:rPr>
                <w:rFonts w:ascii="Calibri" w:hAnsi="Calibri"/>
                <w:color w:val="1F2937"/>
                <w:sz w:val="16"/>
              </w:rPr>
              <w:t>Find duplicate signals and supported coverage gaps; avoid unsupported fraud claims.</w:t>
            </w:r>
          </w:p>
        </w:tc>
        <w:tc>
          <w:tcPr>
            <w:tcW w:type="dxa" w:w="1860"/>
            <w:shd w:fill="F4F7FA"/>
          </w:tcPr>
          <w:p>
            <w:pPr>
              <w:spacing w:after="0"/>
            </w:pPr>
            <w:r>
              <w:rPr>
                <w:rFonts w:ascii="Calibri" w:hAnsi="Calibri"/>
                <w:color w:val="1F2937"/>
                <w:sz w:val="16"/>
              </w:rPr>
              <w:t>Overlap analytics</w:t>
            </w:r>
          </w:p>
        </w:tc>
      </w:tr>
      <w:tr>
        <w:trPr>
          <w:cantSplit/>
        </w:trPr>
        <w:tc>
          <w:tcPr>
            <w:tcW w:type="dxa" w:w="1900"/>
            <w:shd w:fill="FFFFFF"/>
          </w:tcPr>
          <w:p>
            <w:pPr>
              <w:spacing w:after="0"/>
            </w:pPr>
            <w:r>
              <w:rPr>
                <w:rFonts w:ascii="Calibri" w:hAnsi="Calibri"/>
                <w:color w:val="1F2937"/>
                <w:sz w:val="16"/>
              </w:rPr>
              <w:t>Recommendation</w:t>
            </w:r>
          </w:p>
        </w:tc>
        <w:tc>
          <w:tcPr>
            <w:tcW w:type="dxa" w:w="5600"/>
            <w:shd w:fill="FFFFFF"/>
          </w:tcPr>
          <w:p>
            <w:pPr>
              <w:spacing w:after="0"/>
            </w:pPr>
            <w:r>
              <w:rPr>
                <w:rFonts w:ascii="Calibri" w:hAnsi="Calibri"/>
                <w:color w:val="1F2937"/>
                <w:sz w:val="16"/>
              </w:rPr>
              <w:t>Compose, validate and persist a human-review recommendation.</w:t>
            </w:r>
          </w:p>
        </w:tc>
        <w:tc>
          <w:tcPr>
            <w:tcW w:type="dxa" w:w="1860"/>
            <w:shd w:fill="FFFFFF"/>
          </w:tcPr>
          <w:p>
            <w:pPr>
              <w:spacing w:after="0"/>
            </w:pPr>
            <w:r>
              <w:rPr>
                <w:rFonts w:ascii="Calibri" w:hAnsi="Calibri"/>
                <w:color w:val="1F2937"/>
                <w:sz w:val="16"/>
              </w:rPr>
              <w:t>Recommendation service</w:t>
            </w:r>
          </w:p>
        </w:tc>
      </w:tr>
      <w:tr>
        <w:trPr>
          <w:cantSplit/>
        </w:trPr>
        <w:tc>
          <w:tcPr>
            <w:tcW w:type="dxa" w:w="1900"/>
            <w:shd w:fill="F4F7FA"/>
          </w:tcPr>
          <w:p>
            <w:pPr>
              <w:spacing w:after="0"/>
            </w:pPr>
            <w:r>
              <w:rPr>
                <w:rFonts w:ascii="Calibri" w:hAnsi="Calibri"/>
                <w:color w:val="1F2937"/>
                <w:sz w:val="16"/>
              </w:rPr>
              <w:t>Audit/recovery</w:t>
            </w:r>
          </w:p>
        </w:tc>
        <w:tc>
          <w:tcPr>
            <w:tcW w:type="dxa" w:w="5600"/>
            <w:shd w:fill="F4F7FA"/>
          </w:tcPr>
          <w:p>
            <w:pPr>
              <w:spacing w:after="0"/>
            </w:pPr>
            <w:r>
              <w:rPr>
                <w:rFonts w:ascii="Calibri" w:hAnsi="Calibri"/>
                <w:color w:val="1F2937"/>
                <w:sz w:val="16"/>
              </w:rPr>
              <w:t>Persist tool, node, model, transition, retry and evidence history.</w:t>
            </w:r>
          </w:p>
        </w:tc>
        <w:tc>
          <w:tcPr>
            <w:tcW w:type="dxa" w:w="1860"/>
            <w:shd w:fill="F4F7FA"/>
          </w:tcPr>
          <w:p>
            <w:pPr>
              <w:spacing w:after="0"/>
            </w:pPr>
            <w:r>
              <w:rPr>
                <w:rFonts w:ascii="Calibri" w:hAnsi="Calibri"/>
                <w:color w:val="1F2937"/>
                <w:sz w:val="16"/>
              </w:rPr>
              <w:t>Agentic Platform</w:t>
            </w:r>
          </w:p>
        </w:tc>
      </w:tr>
    </w:tbl>
    <w:p>
      <w:pPr>
        <w:spacing w:after="40"/>
      </w:pPr>
    </w:p>
    <w:p>
      <w:pPr>
        <w:pStyle w:val="Heading2"/>
      </w:pPr>
      <w:r>
        <w:rPr>
          <w:rFonts w:ascii="Calibri" w:hAnsi="Calibri"/>
          <w:color w:val="1F2937"/>
          <w:sz w:val="21"/>
        </w:rPr>
        <w:t>3.2 Out of scope for Phase 1</w:t>
      </w:r>
    </w:p>
    <w:p>
      <w:pPr>
        <w:numPr>
          <w:ilvl w:val="0"/>
          <w:numId w:val="4"/>
        </w:numPr>
        <w:spacing w:after="60"/>
        <w:ind w:left="403" w:hanging="259"/>
      </w:pPr>
      <w:r>
        <w:rPr>
          <w:rFonts w:ascii="Calibri" w:hAnsi="Calibri"/>
          <w:color w:val="1F2937"/>
          <w:sz w:val="20"/>
        </w:rPr>
        <w:t>Alert generation or live transaction decisions.</w:t>
      </w:r>
    </w:p>
    <w:p>
      <w:pPr>
        <w:numPr>
          <w:ilvl w:val="0"/>
          <w:numId w:val="4"/>
        </w:numPr>
        <w:spacing w:after="60"/>
        <w:ind w:left="403" w:hanging="259"/>
      </w:pPr>
      <w:r>
        <w:rPr>
          <w:rFonts w:ascii="Calibri" w:hAnsi="Calibri"/>
          <w:color w:val="1F2937"/>
          <w:sz w:val="20"/>
        </w:rPr>
        <w:t>Automatic rule creation, modification, retirement, deletion or deployment.</w:t>
      </w:r>
    </w:p>
    <w:p>
      <w:pPr>
        <w:numPr>
          <w:ilvl w:val="0"/>
          <w:numId w:val="4"/>
        </w:numPr>
        <w:spacing w:after="60"/>
        <w:ind w:left="403" w:hanging="259"/>
      </w:pPr>
      <w:r>
        <w:rPr>
          <w:rFonts w:ascii="Calibri" w:hAnsi="Calibri"/>
          <w:color w:val="1F2937"/>
          <w:sz w:val="20"/>
        </w:rPr>
        <w:t>Executable candidate rule compilation and production Rule Engine write.</w:t>
      </w:r>
    </w:p>
    <w:p>
      <w:pPr>
        <w:numPr>
          <w:ilvl w:val="0"/>
          <w:numId w:val="4"/>
        </w:numPr>
        <w:spacing w:after="60"/>
        <w:ind w:left="403" w:hanging="259"/>
      </w:pPr>
      <w:r>
        <w:rPr>
          <w:rFonts w:ascii="Calibri" w:hAnsi="Calibri"/>
          <w:color w:val="1F2937"/>
          <w:sz w:val="20"/>
        </w:rPr>
        <w:t>True fraud recall or definitive risk-leakage claims without an independent truth source.</w:t>
      </w:r>
    </w:p>
    <w:p>
      <w:pPr>
        <w:numPr>
          <w:ilvl w:val="0"/>
          <w:numId w:val="4"/>
        </w:numPr>
        <w:spacing w:after="60"/>
        <w:ind w:left="403" w:hanging="259"/>
      </w:pPr>
      <w:r>
        <w:rPr>
          <w:rFonts w:ascii="Calibri" w:hAnsi="Calibri"/>
          <w:color w:val="1F2937"/>
          <w:sz w:val="20"/>
        </w:rPr>
        <w:t>Unrestricted dynamic SQL or LLM-generated SQL.</w:t>
      </w:r>
    </w:p>
    <w:p>
      <w:pPr>
        <w:numPr>
          <w:ilvl w:val="0"/>
          <w:numId w:val="4"/>
        </w:numPr>
        <w:spacing w:after="60"/>
        <w:ind w:left="403" w:hanging="259"/>
      </w:pPr>
      <w:r>
        <w:rPr>
          <w:rFonts w:ascii="Calibri" w:hAnsi="Calibri"/>
          <w:color w:val="1F2937"/>
          <w:sz w:val="20"/>
        </w:rPr>
        <w:t>Enterprise sizing conclusions based on the supplied sample dataset.</w:t>
      </w:r>
    </w:p>
    <w:p>
      <w:pPr>
        <w:pStyle w:val="Heading2"/>
      </w:pPr>
      <w:r>
        <w:rPr>
          <w:rFonts w:ascii="Calibri" w:hAnsi="Calibri"/>
          <w:color w:val="1F2937"/>
          <w:sz w:val="21"/>
        </w:rPr>
        <w:t>3.3 Future operating mode</w:t>
      </w:r>
    </w:p>
    <w:p>
      <w:r>
        <w:rPr>
          <w:rFonts w:ascii="Calibri" w:hAnsi="Calibri"/>
          <w:color w:val="1F2937"/>
          <w:sz w:val="21"/>
        </w:rPr>
        <w:t>The target product supports two institution-configurable modes. Mode A, Recommendation Only, is the only enabled mode in Phase 1. Mode B, Candidate + Test, may later generate a candidate, run it through an approved offline simulator or replay service, compare it with the current rule, and then recommend it. Candidate mode requires approved compiler/simulator access, separate permissions and additional simulation tables; it is not part of this delivery.</w:t>
      </w:r>
    </w:p>
    <w:p>
      <w:pPr>
        <w:pStyle w:val="Heading1"/>
      </w:pPr>
      <w:r>
        <w:rPr>
          <w:rFonts w:ascii="Calibri" w:hAnsi="Calibri"/>
          <w:color w:val="1F2937"/>
          <w:sz w:val="21"/>
        </w:rPr>
        <w:t>4. Product architecture</w:t>
      </w:r>
    </w:p>
    <w:p>
      <w:r>
        <w:drawing>
          <wp:inline xmlns:a="http://schemas.openxmlformats.org/drawingml/2006/main" xmlns:pic="http://schemas.openxmlformats.org/drawingml/2006/picture">
            <wp:extent cx="5943600" cy="3632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632200"/>
                    </a:xfrm>
                    <a:prstGeom prst="rect"/>
                  </pic:spPr>
                </pic:pic>
              </a:graphicData>
            </a:graphic>
          </wp:inline>
        </w:drawing>
      </w:r>
    </w:p>
    <w:p>
      <w:pPr>
        <w:spacing w:after="160"/>
        <w:jc w:val="center"/>
      </w:pPr>
      <w:r>
        <w:rPr>
          <w:rFonts w:ascii="Calibri" w:hAnsi="Calibri"/>
          <w:color w:val="5B677A"/>
          <w:sz w:val="17"/>
        </w:rPr>
        <w:t>Figure 1. Shared Agentic Platform boundary and Rule Optimizer data path</w:t>
      </w:r>
    </w:p>
    <w:p>
      <w:pPr>
        <w:pStyle w:val="Heading2"/>
      </w:pPr>
      <w:r>
        <w:rPr>
          <w:rFonts w:ascii="Calibri" w:hAnsi="Calibri"/>
          <w:color w:val="1F2937"/>
          <w:sz w:val="21"/>
        </w:rPr>
        <w:t>4.1 Component responsibilities</w:t>
      </w:r>
    </w:p>
    <w:tbl>
      <w:tblPr>
        <w:tblW w:type="dxa" w:w="9360"/>
        <w:jc w:val="left"/>
        <w:tblLayout w:type="fixed"/>
        <w:tblLook w:firstColumn="1" w:firstRow="1" w:lastColumn="0" w:lastRow="0" w:noHBand="0" w:noVBand="1" w:val="04A0"/>
        <w:tblInd w:w="120" w:type="dxa"/>
      </w:tblPr>
      <w:tblGrid>
        <w:gridCol w:w="1800"/>
        <w:gridCol w:w="4850"/>
        <w:gridCol w:w="2710"/>
      </w:tblGrid>
      <w:tr>
        <w:tc>
          <w:tcPr>
            <w:tcW w:type="dxa" w:w="18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Component</w:t>
            </w:r>
          </w:p>
        </w:tc>
        <w:tc>
          <w:tcPr>
            <w:tcW w:type="dxa" w:w="485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Responsibility</w:t>
            </w:r>
          </w:p>
        </w:tc>
        <w:tc>
          <w:tcPr>
            <w:tcW w:type="dxa" w:w="271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Must not do</w:t>
            </w:r>
          </w:p>
        </w:tc>
      </w:tr>
      <w:tr>
        <w:trPr>
          <w:cantSplit/>
        </w:trPr>
        <w:tc>
          <w:tcPr>
            <w:tcW w:type="dxa" w:w="1800"/>
            <w:shd w:fill="FFFFFF"/>
          </w:tcPr>
          <w:p>
            <w:pPr>
              <w:spacing w:after="0"/>
            </w:pPr>
            <w:r>
              <w:rPr>
                <w:rFonts w:ascii="Calibri" w:hAnsi="Calibri"/>
                <w:color w:val="1F2937"/>
                <w:sz w:val="16"/>
              </w:rPr>
              <w:t>Trigger detector</w:t>
            </w:r>
          </w:p>
        </w:tc>
        <w:tc>
          <w:tcPr>
            <w:tcW w:type="dxa" w:w="4850"/>
            <w:shd w:fill="FFFFFF"/>
          </w:tcPr>
          <w:p>
            <w:pPr>
              <w:spacing w:after="0"/>
            </w:pPr>
            <w:r>
              <w:rPr>
                <w:rFonts w:ascii="Calibri" w:hAnsi="Calibri"/>
                <w:color w:val="1F2937"/>
                <w:sz w:val="16"/>
              </w:rPr>
              <w:t>Poll or receive finalized case decisions and create a durable idempotent trigger.</w:t>
            </w:r>
          </w:p>
        </w:tc>
        <w:tc>
          <w:tcPr>
            <w:tcW w:type="dxa" w:w="2710"/>
            <w:shd w:fill="FFFFFF"/>
          </w:tcPr>
          <w:p>
            <w:pPr>
              <w:spacing w:after="0"/>
            </w:pPr>
            <w:r>
              <w:rPr>
                <w:rFonts w:ascii="Calibri" w:hAnsi="Calibri"/>
                <w:color w:val="1F2937"/>
                <w:sz w:val="16"/>
              </w:rPr>
              <w:t>Analyze rules or call the LLM.</w:t>
            </w:r>
          </w:p>
        </w:tc>
      </w:tr>
      <w:tr>
        <w:trPr>
          <w:cantSplit/>
        </w:trPr>
        <w:tc>
          <w:tcPr>
            <w:tcW w:type="dxa" w:w="1800"/>
            <w:shd w:fill="F4F7FA"/>
          </w:tcPr>
          <w:p>
            <w:pPr>
              <w:spacing w:after="0"/>
            </w:pPr>
            <w:r>
              <w:rPr>
                <w:rFonts w:ascii="Calibri" w:hAnsi="Calibri"/>
                <w:color w:val="1F2937"/>
                <w:sz w:val="16"/>
              </w:rPr>
              <w:t>FastAPI service</w:t>
            </w:r>
          </w:p>
        </w:tc>
        <w:tc>
          <w:tcPr>
            <w:tcW w:type="dxa" w:w="4850"/>
            <w:shd w:fill="F4F7FA"/>
          </w:tcPr>
          <w:p>
            <w:pPr>
              <w:spacing w:after="0"/>
            </w:pPr>
            <w:r>
              <w:rPr>
                <w:rFonts w:ascii="Calibri" w:hAnsi="Calibri"/>
                <w:color w:val="1F2937"/>
                <w:sz w:val="16"/>
              </w:rPr>
              <w:t>Expose start/status/recommendation/review APIs and authenticate the caller.</w:t>
            </w:r>
          </w:p>
        </w:tc>
        <w:tc>
          <w:tcPr>
            <w:tcW w:type="dxa" w:w="2710"/>
            <w:shd w:fill="F4F7FA"/>
          </w:tcPr>
          <w:p>
            <w:pPr>
              <w:spacing w:after="0"/>
            </w:pPr>
            <w:r>
              <w:rPr>
                <w:rFonts w:ascii="Calibri" w:hAnsi="Calibri"/>
                <w:color w:val="1F2937"/>
                <w:sz w:val="16"/>
              </w:rPr>
              <w:t>Run long analytics inside the request thread.</w:t>
            </w:r>
          </w:p>
        </w:tc>
      </w:tr>
      <w:tr>
        <w:trPr>
          <w:cantSplit/>
        </w:trPr>
        <w:tc>
          <w:tcPr>
            <w:tcW w:type="dxa" w:w="1800"/>
            <w:shd w:fill="FFFFFF"/>
          </w:tcPr>
          <w:p>
            <w:pPr>
              <w:spacing w:after="0"/>
            </w:pPr>
            <w:r>
              <w:rPr>
                <w:rFonts w:ascii="Calibri" w:hAnsi="Calibri"/>
                <w:color w:val="1F2937"/>
                <w:sz w:val="16"/>
              </w:rPr>
              <w:t>Background worker</w:t>
            </w:r>
          </w:p>
        </w:tc>
        <w:tc>
          <w:tcPr>
            <w:tcW w:type="dxa" w:w="4850"/>
            <w:shd w:fill="FFFFFF"/>
          </w:tcPr>
          <w:p>
            <w:pPr>
              <w:spacing w:after="0"/>
            </w:pPr>
            <w:r>
              <w:rPr>
                <w:rFonts w:ascii="Calibri" w:hAnsi="Calibri"/>
                <w:color w:val="1F2937"/>
                <w:sz w:val="16"/>
              </w:rPr>
              <w:t>Lease queued jobs, invoke LangGraph, enforce timeouts and recovery.</w:t>
            </w:r>
          </w:p>
        </w:tc>
        <w:tc>
          <w:tcPr>
            <w:tcW w:type="dxa" w:w="2710"/>
            <w:shd w:fill="FFFFFF"/>
          </w:tcPr>
          <w:p>
            <w:pPr>
              <w:spacing w:after="0"/>
            </w:pPr>
            <w:r>
              <w:rPr>
                <w:rFonts w:ascii="Calibri" w:hAnsi="Calibri"/>
                <w:color w:val="1F2937"/>
                <w:sz w:val="16"/>
              </w:rPr>
              <w:t>Bypass authorization or write EFRM rules.</w:t>
            </w:r>
          </w:p>
        </w:tc>
      </w:tr>
      <w:tr>
        <w:trPr>
          <w:cantSplit/>
        </w:trPr>
        <w:tc>
          <w:tcPr>
            <w:tcW w:type="dxa" w:w="1800"/>
            <w:shd w:fill="F4F7FA"/>
          </w:tcPr>
          <w:p>
            <w:pPr>
              <w:spacing w:after="0"/>
            </w:pPr>
            <w:r>
              <w:rPr>
                <w:rFonts w:ascii="Calibri" w:hAnsi="Calibri"/>
                <w:color w:val="1F2937"/>
                <w:sz w:val="16"/>
              </w:rPr>
              <w:t>LangGraph</w:t>
            </w:r>
          </w:p>
        </w:tc>
        <w:tc>
          <w:tcPr>
            <w:tcW w:type="dxa" w:w="4850"/>
            <w:shd w:fill="F4F7FA"/>
          </w:tcPr>
          <w:p>
            <w:pPr>
              <w:spacing w:after="0"/>
            </w:pPr>
            <w:r>
              <w:rPr>
                <w:rFonts w:ascii="Calibri" w:hAnsi="Calibri"/>
                <w:color w:val="1F2937"/>
                <w:sz w:val="16"/>
              </w:rPr>
              <w:t>Control node order, fan-out, checkpointing and state transitions.</w:t>
            </w:r>
          </w:p>
        </w:tc>
        <w:tc>
          <w:tcPr>
            <w:tcW w:type="dxa" w:w="2710"/>
            <w:shd w:fill="F4F7FA"/>
          </w:tcPr>
          <w:p>
            <w:pPr>
              <w:spacing w:after="0"/>
            </w:pPr>
            <w:r>
              <w:rPr>
                <w:rFonts w:ascii="Calibri" w:hAnsi="Calibri"/>
                <w:color w:val="1F2937"/>
                <w:sz w:val="16"/>
              </w:rPr>
              <w:t>Be the source of business metrics.</w:t>
            </w:r>
          </w:p>
        </w:tc>
      </w:tr>
      <w:tr>
        <w:trPr>
          <w:cantSplit/>
        </w:trPr>
        <w:tc>
          <w:tcPr>
            <w:tcW w:type="dxa" w:w="1800"/>
            <w:shd w:fill="FFFFFF"/>
          </w:tcPr>
          <w:p>
            <w:pPr>
              <w:spacing w:after="0"/>
            </w:pPr>
            <w:r>
              <w:rPr>
                <w:rFonts w:ascii="Calibri" w:hAnsi="Calibri"/>
                <w:color w:val="1F2937"/>
                <w:sz w:val="16"/>
              </w:rPr>
              <w:t>Predefined SQL tools</w:t>
            </w:r>
          </w:p>
        </w:tc>
        <w:tc>
          <w:tcPr>
            <w:tcW w:type="dxa" w:w="4850"/>
            <w:shd w:fill="FFFFFF"/>
          </w:tcPr>
          <w:p>
            <w:pPr>
              <w:spacing w:after="0"/>
            </w:pPr>
            <w:r>
              <w:rPr>
                <w:rFonts w:ascii="Calibri" w:hAnsi="Calibri"/>
                <w:color w:val="1F2937"/>
                <w:sz w:val="16"/>
              </w:rPr>
              <w:t>Execute approved parameterized reads against EFRM.</w:t>
            </w:r>
          </w:p>
        </w:tc>
        <w:tc>
          <w:tcPr>
            <w:tcW w:type="dxa" w:w="2710"/>
            <w:shd w:fill="FFFFFF"/>
          </w:tcPr>
          <w:p>
            <w:pPr>
              <w:spacing w:after="0"/>
            </w:pPr>
            <w:r>
              <w:rPr>
                <w:rFonts w:ascii="Calibri" w:hAnsi="Calibri"/>
                <w:color w:val="1F2937"/>
                <w:sz w:val="16"/>
              </w:rPr>
              <w:t>Accept model-created SQL or write operational data.</w:t>
            </w:r>
          </w:p>
        </w:tc>
      </w:tr>
      <w:tr>
        <w:trPr>
          <w:cantSplit/>
        </w:trPr>
        <w:tc>
          <w:tcPr>
            <w:tcW w:type="dxa" w:w="1800"/>
            <w:shd w:fill="F4F7FA"/>
          </w:tcPr>
          <w:p>
            <w:pPr>
              <w:spacing w:after="0"/>
            </w:pPr>
            <w:r>
              <w:rPr>
                <w:rFonts w:ascii="Calibri" w:hAnsi="Calibri"/>
                <w:color w:val="1F2937"/>
                <w:sz w:val="16"/>
              </w:rPr>
              <w:t>Python analytics</w:t>
            </w:r>
          </w:p>
        </w:tc>
        <w:tc>
          <w:tcPr>
            <w:tcW w:type="dxa" w:w="4850"/>
            <w:shd w:fill="F4F7FA"/>
          </w:tcPr>
          <w:p>
            <w:pPr>
              <w:spacing w:after="0"/>
            </w:pPr>
            <w:r>
              <w:rPr>
                <w:rFonts w:ascii="Calibri" w:hAnsi="Calibri"/>
                <w:color w:val="1F2937"/>
                <w:sz w:val="16"/>
              </w:rPr>
              <w:t>Validate data and calculate findings.</w:t>
            </w:r>
          </w:p>
        </w:tc>
        <w:tc>
          <w:tcPr>
            <w:tcW w:type="dxa" w:w="2710"/>
            <w:shd w:fill="F4F7FA"/>
          </w:tcPr>
          <w:p>
            <w:pPr>
              <w:spacing w:after="0"/>
            </w:pPr>
            <w:r>
              <w:rPr>
                <w:rFonts w:ascii="Calibri" w:hAnsi="Calibri"/>
                <w:color w:val="1F2937"/>
                <w:sz w:val="16"/>
              </w:rPr>
              <w:t>Invent missing facts or approve governance.</w:t>
            </w:r>
          </w:p>
        </w:tc>
      </w:tr>
      <w:tr>
        <w:trPr>
          <w:cantSplit/>
        </w:trPr>
        <w:tc>
          <w:tcPr>
            <w:tcW w:type="dxa" w:w="1800"/>
            <w:shd w:fill="FFFFFF"/>
          </w:tcPr>
          <w:p>
            <w:pPr>
              <w:spacing w:after="0"/>
            </w:pPr>
            <w:r>
              <w:rPr>
                <w:rFonts w:ascii="Calibri" w:hAnsi="Calibri"/>
                <w:color w:val="1F2937"/>
                <w:sz w:val="16"/>
              </w:rPr>
              <w:t>LLM gateway</w:t>
            </w:r>
          </w:p>
        </w:tc>
        <w:tc>
          <w:tcPr>
            <w:tcW w:type="dxa" w:w="4850"/>
            <w:shd w:fill="FFFFFF"/>
          </w:tcPr>
          <w:p>
            <w:pPr>
              <w:spacing w:after="0"/>
            </w:pPr>
            <w:r>
              <w:rPr>
                <w:rFonts w:ascii="Calibri" w:hAnsi="Calibri"/>
                <w:color w:val="1F2937"/>
                <w:sz w:val="16"/>
              </w:rPr>
              <w:t>Optionally explain validated findings in plain language.</w:t>
            </w:r>
          </w:p>
        </w:tc>
        <w:tc>
          <w:tcPr>
            <w:tcW w:type="dxa" w:w="2710"/>
            <w:shd w:fill="FFFFFF"/>
          </w:tcPr>
          <w:p>
            <w:pPr>
              <w:spacing w:after="0"/>
            </w:pPr>
            <w:r>
              <w:rPr>
                <w:rFonts w:ascii="Calibri" w:hAnsi="Calibri"/>
                <w:color w:val="1F2937"/>
                <w:sz w:val="16"/>
              </w:rPr>
              <w:t>Query databases, calculate metrics or approve actions.</w:t>
            </w:r>
          </w:p>
        </w:tc>
      </w:tr>
      <w:tr>
        <w:trPr>
          <w:cantSplit/>
        </w:trPr>
        <w:tc>
          <w:tcPr>
            <w:tcW w:type="dxa" w:w="1800"/>
            <w:shd w:fill="F4F7FA"/>
          </w:tcPr>
          <w:p>
            <w:pPr>
              <w:spacing w:after="0"/>
            </w:pPr>
            <w:r>
              <w:rPr>
                <w:rFonts w:ascii="Calibri" w:hAnsi="Calibri"/>
                <w:color w:val="1F2937"/>
                <w:sz w:val="16"/>
              </w:rPr>
              <w:t>Agentic repository</w:t>
            </w:r>
          </w:p>
        </w:tc>
        <w:tc>
          <w:tcPr>
            <w:tcW w:type="dxa" w:w="4850"/>
            <w:shd w:fill="F4F7FA"/>
          </w:tcPr>
          <w:p>
            <w:pPr>
              <w:spacing w:after="0"/>
            </w:pPr>
            <w:r>
              <w:rPr>
                <w:rFonts w:ascii="Calibri" w:hAnsi="Calibri"/>
                <w:color w:val="1F2937"/>
                <w:sz w:val="16"/>
              </w:rPr>
              <w:t>Persist jobs, artifacts, evidence, recommendations, audit and review state.</w:t>
            </w:r>
          </w:p>
        </w:tc>
        <w:tc>
          <w:tcPr>
            <w:tcW w:type="dxa" w:w="2710"/>
            <w:shd w:fill="F4F7FA"/>
          </w:tcPr>
          <w:p>
            <w:pPr>
              <w:spacing w:after="0"/>
            </w:pPr>
            <w:r>
              <w:rPr>
                <w:rFonts w:ascii="Calibri" w:hAnsi="Calibri"/>
                <w:color w:val="1F2937"/>
                <w:sz w:val="16"/>
              </w:rPr>
              <w:t>Become the source of truth for EFRM facts.</w:t>
            </w:r>
          </w:p>
        </w:tc>
      </w:tr>
      <w:tr>
        <w:trPr>
          <w:cantSplit/>
        </w:trPr>
        <w:tc>
          <w:tcPr>
            <w:tcW w:type="dxa" w:w="1800"/>
            <w:shd w:fill="FFFFFF"/>
          </w:tcPr>
          <w:p>
            <w:pPr>
              <w:spacing w:after="0"/>
            </w:pPr>
            <w:r>
              <w:rPr>
                <w:rFonts w:ascii="Calibri" w:hAnsi="Calibri"/>
                <w:color w:val="1F2937"/>
                <w:sz w:val="16"/>
              </w:rPr>
              <w:t>Human governance</w:t>
            </w:r>
          </w:p>
        </w:tc>
        <w:tc>
          <w:tcPr>
            <w:tcW w:type="dxa" w:w="4850"/>
            <w:shd w:fill="FFFFFF"/>
          </w:tcPr>
          <w:p>
            <w:pPr>
              <w:spacing w:after="0"/>
            </w:pPr>
            <w:r>
              <w:rPr>
                <w:rFonts w:ascii="Calibri" w:hAnsi="Calibri"/>
                <w:color w:val="1F2937"/>
                <w:sz w:val="16"/>
              </w:rPr>
              <w:t>Review, approve, reject or request changes and make production changes.</w:t>
            </w:r>
          </w:p>
        </w:tc>
        <w:tc>
          <w:tcPr>
            <w:tcW w:type="dxa" w:w="2710"/>
            <w:shd w:fill="FFFFFF"/>
          </w:tcPr>
          <w:p>
            <w:pPr>
              <w:spacing w:after="0"/>
            </w:pPr>
            <w:r>
              <w:rPr>
                <w:rFonts w:ascii="Calibri" w:hAnsi="Calibri"/>
                <w:color w:val="1F2937"/>
                <w:sz w:val="16"/>
              </w:rPr>
              <w:t>Delegate production change to the agent.</w:t>
            </w:r>
          </w:p>
        </w:tc>
      </w:tr>
    </w:tbl>
    <w:p>
      <w:pPr>
        <w:spacing w:after="40"/>
      </w:pPr>
    </w:p>
    <w:p>
      <w:pPr>
        <w:pStyle w:val="Heading2"/>
      </w:pPr>
      <w:r>
        <w:rPr>
          <w:rFonts w:ascii="Calibri" w:hAnsi="Calibri"/>
          <w:color w:val="1F2937"/>
          <w:sz w:val="21"/>
        </w:rPr>
        <w:t>4.2 Technology choices</w:t>
      </w:r>
    </w:p>
    <w:tbl>
      <w:tblPr>
        <w:tblW w:type="dxa" w:w="9360"/>
        <w:jc w:val="left"/>
        <w:tblLayout w:type="fixed"/>
        <w:tblLook w:firstColumn="1" w:firstRow="1" w:lastColumn="0" w:lastRow="0" w:noHBand="0" w:noVBand="1" w:val="04A0"/>
        <w:tblInd w:w="120" w:type="dxa"/>
      </w:tblPr>
      <w:tblGrid>
        <w:gridCol w:w="1900"/>
        <w:gridCol w:w="5100"/>
        <w:gridCol w:w="2360"/>
      </w:tblGrid>
      <w:tr>
        <w:tc>
          <w:tcPr>
            <w:tcW w:type="dxa" w:w="19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Technology</w:t>
            </w:r>
          </w:p>
        </w:tc>
        <w:tc>
          <w:tcPr>
            <w:tcW w:type="dxa" w:w="51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Use in this product</w:t>
            </w:r>
          </w:p>
        </w:tc>
        <w:tc>
          <w:tcPr>
            <w:tcW w:type="dxa" w:w="23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Decision</w:t>
            </w:r>
          </w:p>
        </w:tc>
      </w:tr>
      <w:tr>
        <w:trPr>
          <w:cantSplit/>
        </w:trPr>
        <w:tc>
          <w:tcPr>
            <w:tcW w:type="dxa" w:w="1900"/>
            <w:shd w:fill="FFFFFF"/>
          </w:tcPr>
          <w:p>
            <w:pPr>
              <w:spacing w:after="0"/>
            </w:pPr>
            <w:r>
              <w:rPr>
                <w:rFonts w:ascii="Calibri" w:hAnsi="Calibri"/>
                <w:color w:val="1F2937"/>
                <w:sz w:val="16"/>
              </w:rPr>
              <w:t>Python</w:t>
            </w:r>
          </w:p>
        </w:tc>
        <w:tc>
          <w:tcPr>
            <w:tcW w:type="dxa" w:w="5100"/>
            <w:shd w:fill="FFFFFF"/>
          </w:tcPr>
          <w:p>
            <w:pPr>
              <w:spacing w:after="0"/>
            </w:pPr>
            <w:r>
              <w:rPr>
                <w:rFonts w:ascii="Calibri" w:hAnsi="Calibri"/>
                <w:color w:val="1F2937"/>
                <w:sz w:val="16"/>
              </w:rPr>
              <w:t>Tool handlers, data contracts, analytics, validators and graph code.</w:t>
            </w:r>
          </w:p>
        </w:tc>
        <w:tc>
          <w:tcPr>
            <w:tcW w:type="dxa" w:w="2360"/>
            <w:shd w:fill="FFFFFF"/>
          </w:tcPr>
          <w:p>
            <w:pPr>
              <w:spacing w:after="0"/>
            </w:pPr>
            <w:r>
              <w:rPr>
                <w:rFonts w:ascii="Calibri" w:hAnsi="Calibri"/>
                <w:color w:val="1F2937"/>
                <w:sz w:val="16"/>
              </w:rPr>
              <w:t>Required</w:t>
            </w:r>
          </w:p>
        </w:tc>
      </w:tr>
      <w:tr>
        <w:trPr>
          <w:cantSplit/>
        </w:trPr>
        <w:tc>
          <w:tcPr>
            <w:tcW w:type="dxa" w:w="1900"/>
            <w:shd w:fill="F4F7FA"/>
          </w:tcPr>
          <w:p>
            <w:pPr>
              <w:spacing w:after="0"/>
            </w:pPr>
            <w:r>
              <w:rPr>
                <w:rFonts w:ascii="Calibri" w:hAnsi="Calibri"/>
                <w:color w:val="1F2937"/>
                <w:sz w:val="16"/>
              </w:rPr>
              <w:t>FastAPI</w:t>
            </w:r>
          </w:p>
        </w:tc>
        <w:tc>
          <w:tcPr>
            <w:tcW w:type="dxa" w:w="5100"/>
            <w:shd w:fill="F4F7FA"/>
          </w:tcPr>
          <w:p>
            <w:pPr>
              <w:spacing w:after="0"/>
            </w:pPr>
            <w:r>
              <w:rPr>
                <w:rFonts w:ascii="Calibri" w:hAnsi="Calibri"/>
                <w:color w:val="1F2937"/>
                <w:sz w:val="16"/>
              </w:rPr>
              <w:t>Control-plane APIs and health endpoints.</w:t>
            </w:r>
          </w:p>
        </w:tc>
        <w:tc>
          <w:tcPr>
            <w:tcW w:type="dxa" w:w="2360"/>
            <w:shd w:fill="F4F7FA"/>
          </w:tcPr>
          <w:p>
            <w:pPr>
              <w:spacing w:after="0"/>
            </w:pPr>
            <w:r>
              <w:rPr>
                <w:rFonts w:ascii="Calibri" w:hAnsi="Calibri"/>
                <w:color w:val="1F2937"/>
                <w:sz w:val="16"/>
              </w:rPr>
              <w:t>Required</w:t>
            </w:r>
          </w:p>
        </w:tc>
      </w:tr>
      <w:tr>
        <w:trPr>
          <w:cantSplit/>
        </w:trPr>
        <w:tc>
          <w:tcPr>
            <w:tcW w:type="dxa" w:w="1900"/>
            <w:shd w:fill="FFFFFF"/>
          </w:tcPr>
          <w:p>
            <w:pPr>
              <w:spacing w:after="0"/>
            </w:pPr>
            <w:r>
              <w:rPr>
                <w:rFonts w:ascii="Calibri" w:hAnsi="Calibri"/>
                <w:color w:val="1F2937"/>
                <w:sz w:val="16"/>
              </w:rPr>
              <w:t>LangGraph</w:t>
            </w:r>
          </w:p>
        </w:tc>
        <w:tc>
          <w:tcPr>
            <w:tcW w:type="dxa" w:w="5100"/>
            <w:shd w:fill="FFFFFF"/>
          </w:tcPr>
          <w:p>
            <w:pPr>
              <w:spacing w:after="0"/>
            </w:pPr>
            <w:r>
              <w:rPr>
                <w:rFonts w:ascii="Calibri" w:hAnsi="Calibri"/>
                <w:color w:val="1F2937"/>
                <w:sz w:val="16"/>
              </w:rPr>
              <w:t>Durable background workflow and fan-out.</w:t>
            </w:r>
          </w:p>
        </w:tc>
        <w:tc>
          <w:tcPr>
            <w:tcW w:type="dxa" w:w="2360"/>
            <w:shd w:fill="FFFFFF"/>
          </w:tcPr>
          <w:p>
            <w:pPr>
              <w:spacing w:after="0"/>
            </w:pPr>
            <w:r>
              <w:rPr>
                <w:rFonts w:ascii="Calibri" w:hAnsi="Calibri"/>
                <w:color w:val="1F2937"/>
                <w:sz w:val="16"/>
              </w:rPr>
              <w:t>Required</w:t>
            </w:r>
          </w:p>
        </w:tc>
      </w:tr>
      <w:tr>
        <w:trPr>
          <w:cantSplit/>
        </w:trPr>
        <w:tc>
          <w:tcPr>
            <w:tcW w:type="dxa" w:w="1900"/>
            <w:shd w:fill="F4F7FA"/>
          </w:tcPr>
          <w:p>
            <w:pPr>
              <w:spacing w:after="0"/>
            </w:pPr>
            <w:r>
              <w:rPr>
                <w:rFonts w:ascii="Calibri" w:hAnsi="Calibri"/>
                <w:color w:val="1F2937"/>
                <w:sz w:val="16"/>
              </w:rPr>
              <w:t>FastMCP</w:t>
            </w:r>
          </w:p>
        </w:tc>
        <w:tc>
          <w:tcPr>
            <w:tcW w:type="dxa" w:w="5100"/>
            <w:shd w:fill="F4F7FA"/>
          </w:tcPr>
          <w:p>
            <w:pPr>
              <w:spacing w:after="0"/>
            </w:pPr>
            <w:r>
              <w:rPr>
                <w:rFonts w:ascii="Calibri" w:hAnsi="Calibri"/>
                <w:color w:val="1F2937"/>
                <w:sz w:val="16"/>
              </w:rPr>
              <w:t>Standard interface where shared tools need MCP exposure.</w:t>
            </w:r>
          </w:p>
        </w:tc>
        <w:tc>
          <w:tcPr>
            <w:tcW w:type="dxa" w:w="2360"/>
            <w:shd w:fill="F4F7FA"/>
          </w:tcPr>
          <w:p>
            <w:pPr>
              <w:spacing w:after="0"/>
            </w:pPr>
            <w:r>
              <w:rPr>
                <w:rFonts w:ascii="Calibri" w:hAnsi="Calibri"/>
                <w:color w:val="1F2937"/>
                <w:sz w:val="16"/>
              </w:rPr>
              <w:t>Optional but supported</w:t>
            </w:r>
          </w:p>
        </w:tc>
      </w:tr>
      <w:tr>
        <w:trPr>
          <w:cantSplit/>
        </w:trPr>
        <w:tc>
          <w:tcPr>
            <w:tcW w:type="dxa" w:w="1900"/>
            <w:shd w:fill="FFFFFF"/>
          </w:tcPr>
          <w:p>
            <w:pPr>
              <w:spacing w:after="0"/>
            </w:pPr>
            <w:r>
              <w:rPr>
                <w:rFonts w:ascii="Calibri" w:hAnsi="Calibri"/>
                <w:color w:val="1F2937"/>
                <w:sz w:val="16"/>
              </w:rPr>
              <w:t>PostgreSQL</w:t>
            </w:r>
          </w:p>
        </w:tc>
        <w:tc>
          <w:tcPr>
            <w:tcW w:type="dxa" w:w="5100"/>
            <w:shd w:fill="FFFFFF"/>
          </w:tcPr>
          <w:p>
            <w:pPr>
              <w:spacing w:after="0"/>
            </w:pPr>
            <w:r>
              <w:rPr>
                <w:rFonts w:ascii="Calibri" w:hAnsi="Calibri"/>
                <w:color w:val="1F2937"/>
                <w:sz w:val="16"/>
              </w:rPr>
              <w:t>Agentic application data and LangGraph checkpoints.</w:t>
            </w:r>
          </w:p>
        </w:tc>
        <w:tc>
          <w:tcPr>
            <w:tcW w:type="dxa" w:w="2360"/>
            <w:shd w:fill="FFFFFF"/>
          </w:tcPr>
          <w:p>
            <w:pPr>
              <w:spacing w:after="0"/>
            </w:pPr>
            <w:r>
              <w:rPr>
                <w:rFonts w:ascii="Calibri" w:hAnsi="Calibri"/>
                <w:color w:val="1F2937"/>
                <w:sz w:val="16"/>
              </w:rPr>
              <w:t>Required</w:t>
            </w:r>
          </w:p>
        </w:tc>
      </w:tr>
      <w:tr>
        <w:trPr>
          <w:cantSplit/>
        </w:trPr>
        <w:tc>
          <w:tcPr>
            <w:tcW w:type="dxa" w:w="1900"/>
            <w:shd w:fill="F4F7FA"/>
          </w:tcPr>
          <w:p>
            <w:pPr>
              <w:spacing w:after="0"/>
            </w:pPr>
            <w:r>
              <w:rPr>
                <w:rFonts w:ascii="Calibri" w:hAnsi="Calibri"/>
                <w:color w:val="1F2937"/>
                <w:sz w:val="16"/>
              </w:rPr>
              <w:t>pgvector</w:t>
            </w:r>
          </w:p>
        </w:tc>
        <w:tc>
          <w:tcPr>
            <w:tcW w:type="dxa" w:w="5100"/>
            <w:shd w:fill="F4F7FA"/>
          </w:tcPr>
          <w:p>
            <w:pPr>
              <w:spacing w:after="0"/>
            </w:pPr>
            <w:r>
              <w:rPr>
                <w:rFonts w:ascii="Calibri" w:hAnsi="Calibri"/>
                <w:color w:val="1F2937"/>
                <w:sz w:val="16"/>
              </w:rPr>
              <w:t>Shared knowledge retrieval for future policy/document support.</w:t>
            </w:r>
          </w:p>
        </w:tc>
        <w:tc>
          <w:tcPr>
            <w:tcW w:type="dxa" w:w="2360"/>
            <w:shd w:fill="F4F7FA"/>
          </w:tcPr>
          <w:p>
            <w:pPr>
              <w:spacing w:after="0"/>
            </w:pPr>
            <w:r>
              <w:rPr>
                <w:rFonts w:ascii="Calibri" w:hAnsi="Calibri"/>
                <w:color w:val="1F2937"/>
                <w:sz w:val="16"/>
              </w:rPr>
              <w:t>Later; not core</w:t>
            </w:r>
          </w:p>
        </w:tc>
      </w:tr>
      <w:tr>
        <w:trPr>
          <w:cantSplit/>
        </w:trPr>
        <w:tc>
          <w:tcPr>
            <w:tcW w:type="dxa" w:w="1900"/>
            <w:shd w:fill="FFFFFF"/>
          </w:tcPr>
          <w:p>
            <w:pPr>
              <w:spacing w:after="0"/>
            </w:pPr>
            <w:r>
              <w:rPr>
                <w:rFonts w:ascii="Calibri" w:hAnsi="Calibri"/>
                <w:color w:val="1F2937"/>
                <w:sz w:val="16"/>
              </w:rPr>
              <w:t>Object storage / analytical file store</w:t>
            </w:r>
          </w:p>
        </w:tc>
        <w:tc>
          <w:tcPr>
            <w:tcW w:type="dxa" w:w="5100"/>
            <w:shd w:fill="FFFFFF"/>
          </w:tcPr>
          <w:p>
            <w:pPr>
              <w:spacing w:after="0"/>
            </w:pPr>
            <w:r>
              <w:rPr>
                <w:rFonts w:ascii="Calibri" w:hAnsi="Calibri"/>
                <w:color w:val="1F2937"/>
                <w:sz w:val="16"/>
              </w:rPr>
              <w:t>Partitioned Parquet snapshots and large artifacts.</w:t>
            </w:r>
          </w:p>
        </w:tc>
        <w:tc>
          <w:tcPr>
            <w:tcW w:type="dxa" w:w="2360"/>
            <w:shd w:fill="FFFFFF"/>
          </w:tcPr>
          <w:p>
            <w:pPr>
              <w:spacing w:after="0"/>
            </w:pPr>
            <w:r>
              <w:rPr>
                <w:rFonts w:ascii="Calibri" w:hAnsi="Calibri"/>
                <w:color w:val="1F2937"/>
                <w:sz w:val="16"/>
              </w:rPr>
              <w:t>Required</w:t>
            </w:r>
          </w:p>
        </w:tc>
      </w:tr>
      <w:tr>
        <w:trPr>
          <w:cantSplit/>
        </w:trPr>
        <w:tc>
          <w:tcPr>
            <w:tcW w:type="dxa" w:w="1900"/>
            <w:shd w:fill="F4F7FA"/>
          </w:tcPr>
          <w:p>
            <w:pPr>
              <w:spacing w:after="0"/>
            </w:pPr>
            <w:r>
              <w:rPr>
                <w:rFonts w:ascii="Calibri" w:hAnsi="Calibri"/>
                <w:color w:val="1F2937"/>
                <w:sz w:val="16"/>
              </w:rPr>
              <w:t>SFTP</w:t>
            </w:r>
          </w:p>
        </w:tc>
        <w:tc>
          <w:tcPr>
            <w:tcW w:type="dxa" w:w="5100"/>
            <w:shd w:fill="F4F7FA"/>
          </w:tcPr>
          <w:p>
            <w:pPr>
              <w:spacing w:after="0"/>
            </w:pPr>
            <w:r>
              <w:rPr>
                <w:rFonts w:ascii="Calibri" w:hAnsi="Calibri"/>
                <w:color w:val="1F2937"/>
                <w:sz w:val="16"/>
              </w:rPr>
              <w:t>Secure transport for approved files and exports.</w:t>
            </w:r>
          </w:p>
        </w:tc>
        <w:tc>
          <w:tcPr>
            <w:tcW w:type="dxa" w:w="2360"/>
            <w:shd w:fill="F4F7FA"/>
          </w:tcPr>
          <w:p>
            <w:pPr>
              <w:spacing w:after="0"/>
            </w:pPr>
            <w:r>
              <w:rPr>
                <w:rFonts w:ascii="Calibri" w:hAnsi="Calibri"/>
                <w:color w:val="1F2937"/>
                <w:sz w:val="16"/>
              </w:rPr>
              <w:t>Integration option</w:t>
            </w:r>
          </w:p>
        </w:tc>
      </w:tr>
      <w:tr>
        <w:trPr>
          <w:cantSplit/>
        </w:trPr>
        <w:tc>
          <w:tcPr>
            <w:tcW w:type="dxa" w:w="1900"/>
            <w:shd w:fill="FFFFFF"/>
          </w:tcPr>
          <w:p>
            <w:pPr>
              <w:spacing w:after="0"/>
            </w:pPr>
            <w:r>
              <w:rPr>
                <w:rFonts w:ascii="Calibri" w:hAnsi="Calibri"/>
                <w:color w:val="1F2937"/>
                <w:sz w:val="16"/>
              </w:rPr>
              <w:t>Local/API LLM</w:t>
            </w:r>
          </w:p>
        </w:tc>
        <w:tc>
          <w:tcPr>
            <w:tcW w:type="dxa" w:w="5100"/>
            <w:shd w:fill="FFFFFF"/>
          </w:tcPr>
          <w:p>
            <w:pPr>
              <w:spacing w:after="0"/>
            </w:pPr>
            <w:r>
              <w:rPr>
                <w:rFonts w:ascii="Calibri" w:hAnsi="Calibri"/>
                <w:color w:val="1F2937"/>
                <w:sz w:val="16"/>
              </w:rPr>
              <w:t>Explanation only, behind an allow-listed gateway.</w:t>
            </w:r>
          </w:p>
        </w:tc>
        <w:tc>
          <w:tcPr>
            <w:tcW w:type="dxa" w:w="2360"/>
            <w:shd w:fill="FFFFFF"/>
          </w:tcPr>
          <w:p>
            <w:pPr>
              <w:spacing w:after="0"/>
            </w:pPr>
            <w:r>
              <w:rPr>
                <w:rFonts w:ascii="Calibri" w:hAnsi="Calibri"/>
                <w:color w:val="1F2937"/>
                <w:sz w:val="16"/>
              </w:rPr>
              <w:t>Optional</w:t>
            </w:r>
          </w:p>
        </w:tc>
      </w:tr>
    </w:tbl>
    <w:p>
      <w:pPr>
        <w:spacing w:after="40"/>
      </w:pPr>
    </w:p>
    <w:p>
      <w:pPr>
        <w:pStyle w:val="Heading1"/>
      </w:pPr>
      <w:r>
        <w:rPr>
          <w:rFonts w:ascii="Calibri" w:hAnsi="Calibri"/>
          <w:color w:val="1F2937"/>
          <w:sz w:val="21"/>
        </w:rPr>
        <w:t>5. Trigger and job lifecycle</w:t>
      </w:r>
    </w:p>
    <w:p>
      <w:pPr>
        <w:pStyle w:val="Heading2"/>
      </w:pPr>
      <w:r>
        <w:rPr>
          <w:rFonts w:ascii="Calibri" w:hAnsi="Calibri"/>
          <w:color w:val="1F2937"/>
          <w:sz w:val="21"/>
        </w:rPr>
        <w:t>5.1 Trigger options</w:t>
      </w:r>
    </w:p>
    <w:tbl>
      <w:tblPr>
        <w:tblW w:type="dxa" w:w="9360"/>
        <w:jc w:val="left"/>
        <w:tblLayout w:type="fixed"/>
        <w:tblLook w:firstColumn="1" w:firstRow="1" w:lastColumn="0" w:lastRow="0" w:noHBand="0" w:noVBand="1" w:val="04A0"/>
        <w:tblInd w:w="120" w:type="dxa"/>
      </w:tblPr>
      <w:tblGrid>
        <w:gridCol w:w="1600"/>
        <w:gridCol w:w="5000"/>
        <w:gridCol w:w="2760"/>
      </w:tblGrid>
      <w:tr>
        <w:tc>
          <w:tcPr>
            <w:tcW w:type="dxa" w:w="16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7"/>
              </w:rPr>
              <w:t>Option</w:t>
            </w:r>
          </w:p>
        </w:tc>
        <w:tc>
          <w:tcPr>
            <w:tcW w:type="dxa" w:w="50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7"/>
              </w:rPr>
              <w:t>How it works</w:t>
            </w:r>
          </w:p>
        </w:tc>
        <w:tc>
          <w:tcPr>
            <w:tcW w:type="dxa" w:w="27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7"/>
              </w:rPr>
              <w:t>Phase 1 position</w:t>
            </w:r>
          </w:p>
        </w:tc>
      </w:tr>
      <w:tr>
        <w:trPr>
          <w:cantSplit/>
        </w:trPr>
        <w:tc>
          <w:tcPr>
            <w:tcW w:type="dxa" w:w="1600"/>
            <w:shd w:fill="FFFFFF"/>
          </w:tcPr>
          <w:p>
            <w:pPr>
              <w:spacing w:after="0"/>
            </w:pPr>
            <w:r>
              <w:rPr>
                <w:rFonts w:ascii="Calibri" w:hAnsi="Calibri"/>
                <w:color w:val="1F2937"/>
                <w:sz w:val="17"/>
              </w:rPr>
              <w:t>Scheduled SQL poller</w:t>
            </w:r>
          </w:p>
        </w:tc>
        <w:tc>
          <w:tcPr>
            <w:tcW w:type="dxa" w:w="5000"/>
            <w:shd w:fill="FFFFFF"/>
          </w:tcPr>
          <w:p>
            <w:pPr>
              <w:spacing w:after="0"/>
            </w:pPr>
            <w:r>
              <w:rPr>
                <w:rFonts w:ascii="Calibri" w:hAnsi="Calibri"/>
                <w:color w:val="1F2937"/>
                <w:sz w:val="17"/>
              </w:rPr>
              <w:t>Reads new finalized case decisions from an EFRM read replica using a durable high-water mark and overlap window.</w:t>
            </w:r>
          </w:p>
        </w:tc>
        <w:tc>
          <w:tcPr>
            <w:tcW w:type="dxa" w:w="2760"/>
            <w:shd w:fill="FFFFFF"/>
          </w:tcPr>
          <w:p>
            <w:pPr>
              <w:spacing w:after="0"/>
            </w:pPr>
            <w:r>
              <w:rPr>
                <w:rFonts w:ascii="Calibri" w:hAnsi="Calibri"/>
                <w:color w:val="1F2937"/>
                <w:sz w:val="17"/>
              </w:rPr>
              <w:t>Primary</w:t>
            </w:r>
          </w:p>
        </w:tc>
      </w:tr>
      <w:tr>
        <w:trPr>
          <w:cantSplit/>
        </w:trPr>
        <w:tc>
          <w:tcPr>
            <w:tcW w:type="dxa" w:w="1600"/>
            <w:shd w:fill="F4F7FA"/>
          </w:tcPr>
          <w:p>
            <w:pPr>
              <w:spacing w:after="0"/>
            </w:pPr>
            <w:r>
              <w:rPr>
                <w:rFonts w:ascii="Calibri" w:hAnsi="Calibri"/>
                <w:color w:val="1F2937"/>
                <w:sz w:val="17"/>
              </w:rPr>
              <w:t>Event/API</w:t>
            </w:r>
          </w:p>
        </w:tc>
        <w:tc>
          <w:tcPr>
            <w:tcW w:type="dxa" w:w="5000"/>
            <w:shd w:fill="F4F7FA"/>
          </w:tcPr>
          <w:p>
            <w:pPr>
              <w:spacing w:after="0"/>
            </w:pPr>
            <w:r>
              <w:rPr>
                <w:rFonts w:ascii="Calibri" w:hAnsi="Calibri"/>
                <w:color w:val="1F2937"/>
                <w:sz w:val="17"/>
              </w:rPr>
              <w:t>EFRM publishes CASE_FINALIZED or calls the trigger endpoint; payload is normalized and stored.</w:t>
            </w:r>
          </w:p>
        </w:tc>
        <w:tc>
          <w:tcPr>
            <w:tcW w:type="dxa" w:w="2760"/>
            <w:shd w:fill="F4F7FA"/>
          </w:tcPr>
          <w:p>
            <w:pPr>
              <w:spacing w:after="0"/>
            </w:pPr>
            <w:r>
              <w:rPr>
                <w:rFonts w:ascii="Calibri" w:hAnsi="Calibri"/>
                <w:color w:val="1F2937"/>
                <w:sz w:val="17"/>
              </w:rPr>
              <w:t>Supported when confirmed</w:t>
            </w:r>
          </w:p>
        </w:tc>
      </w:tr>
      <w:tr>
        <w:trPr>
          <w:cantSplit/>
        </w:trPr>
        <w:tc>
          <w:tcPr>
            <w:tcW w:type="dxa" w:w="1600"/>
            <w:shd w:fill="FFFFFF"/>
          </w:tcPr>
          <w:p>
            <w:pPr>
              <w:spacing w:after="0"/>
            </w:pPr>
            <w:r>
              <w:rPr>
                <w:rFonts w:ascii="Calibri" w:hAnsi="Calibri"/>
                <w:color w:val="1F2937"/>
                <w:sz w:val="17"/>
              </w:rPr>
              <w:t>Manual reanalysis</w:t>
            </w:r>
          </w:p>
        </w:tc>
        <w:tc>
          <w:tcPr>
            <w:tcW w:type="dxa" w:w="5000"/>
            <w:shd w:fill="FFFFFF"/>
          </w:tcPr>
          <w:p>
            <w:pPr>
              <w:spacing w:after="0"/>
            </w:pPr>
            <w:r>
              <w:rPr>
                <w:rFonts w:ascii="Calibri" w:hAnsi="Calibri"/>
                <w:color w:val="1F2937"/>
                <w:sz w:val="17"/>
              </w:rPr>
              <w:t>Authorized reviewer starts a new generation for an existing case.</w:t>
            </w:r>
          </w:p>
        </w:tc>
        <w:tc>
          <w:tcPr>
            <w:tcW w:type="dxa" w:w="2760"/>
            <w:shd w:fill="FFFFFF"/>
          </w:tcPr>
          <w:p>
            <w:pPr>
              <w:spacing w:after="0"/>
            </w:pPr>
            <w:r>
              <w:rPr>
                <w:rFonts w:ascii="Calibri" w:hAnsi="Calibri"/>
                <w:color w:val="1F2937"/>
                <w:sz w:val="17"/>
              </w:rPr>
              <w:t>Supported with policy</w:t>
            </w:r>
          </w:p>
        </w:tc>
      </w:tr>
    </w:tbl>
    <w:p>
      <w:pPr>
        <w:spacing w:after="40"/>
      </w:pPr>
    </w:p>
    <w:p>
      <w:pPr>
        <w:pStyle w:val="Heading2"/>
      </w:pPr>
      <w:r>
        <w:rPr>
          <w:rFonts w:ascii="Calibri" w:hAnsi="Calibri"/>
          <w:color w:val="1F2937"/>
          <w:sz w:val="21"/>
        </w:rPr>
        <w:t>5.2 Trigger intake sequence</w:t>
      </w:r>
    </w:p>
    <w:p>
      <w:pPr>
        <w:numPr>
          <w:ilvl w:val="0"/>
          <w:numId w:val="5"/>
        </w:numPr>
        <w:spacing w:after="80"/>
        <w:ind w:left="403" w:hanging="259"/>
      </w:pPr>
      <w:r>
        <w:rPr>
          <w:rFonts w:ascii="Calibri" w:hAnsi="Calibri"/>
          <w:color w:val="1F2937"/>
          <w:sz w:val="20"/>
        </w:rPr>
        <w:t>Read the institution’s approved outcome mapping and identify eligible finalized FALSE_POSITIVE outcomes.</w:t>
      </w:r>
    </w:p>
    <w:p>
      <w:pPr>
        <w:numPr>
          <w:ilvl w:val="0"/>
          <w:numId w:val="5"/>
        </w:numPr>
        <w:spacing w:after="80"/>
        <w:ind w:left="403" w:hanging="259"/>
      </w:pPr>
      <w:r>
        <w:rPr>
          <w:rFonts w:ascii="Calibri" w:hAnsi="Calibri"/>
          <w:color w:val="1F2937"/>
          <w:sz w:val="20"/>
        </w:rPr>
        <w:t>Create a normalized payload with institution, case identity, decision identity, source event identity and occurrence time.</w:t>
      </w:r>
    </w:p>
    <w:p>
      <w:pPr>
        <w:numPr>
          <w:ilvl w:val="0"/>
          <w:numId w:val="5"/>
        </w:numPr>
        <w:spacing w:after="80"/>
        <w:ind w:left="403" w:hanging="259"/>
      </w:pPr>
      <w:r>
        <w:rPr>
          <w:rFonts w:ascii="Calibri" w:hAnsi="Calibri"/>
          <w:color w:val="1F2937"/>
          <w:sz w:val="20"/>
        </w:rPr>
        <w:t>Insert into trigger_inbox with a unique institution/source-event key.</w:t>
      </w:r>
    </w:p>
    <w:p>
      <w:pPr>
        <w:numPr>
          <w:ilvl w:val="0"/>
          <w:numId w:val="5"/>
        </w:numPr>
        <w:spacing w:after="80"/>
        <w:ind w:left="403" w:hanging="259"/>
      </w:pPr>
      <w:r>
        <w:rPr>
          <w:rFonts w:ascii="Calibri" w:hAnsi="Calibri"/>
          <w:color w:val="1F2937"/>
          <w:sz w:val="20"/>
        </w:rPr>
        <w:t>Resolve the active agent_version and trigger_binding.</w:t>
      </w:r>
    </w:p>
    <w:p>
      <w:pPr>
        <w:numPr>
          <w:ilvl w:val="0"/>
          <w:numId w:val="5"/>
        </w:numPr>
        <w:spacing w:after="80"/>
        <w:ind w:left="403" w:hanging="259"/>
      </w:pPr>
      <w:r>
        <w:rPr>
          <w:rFonts w:ascii="Calibri" w:hAnsi="Calibri"/>
          <w:color w:val="1F2937"/>
          <w:sz w:val="20"/>
        </w:rPr>
        <w:t>Freeze configuration_snapshot; create agent_invocation, graph_run and case_analysis_job.</w:t>
      </w:r>
    </w:p>
    <w:p>
      <w:pPr>
        <w:numPr>
          <w:ilvl w:val="0"/>
          <w:numId w:val="5"/>
        </w:numPr>
        <w:spacing w:after="80"/>
        <w:ind w:left="403" w:hanging="259"/>
      </w:pPr>
      <w:r>
        <w:rPr>
          <w:rFonts w:ascii="Calibri" w:hAnsi="Calibri"/>
          <w:color w:val="1F2937"/>
          <w:sz w:val="20"/>
        </w:rPr>
        <w:t>Lease the job to a background worker. Duplicate or invalid triggers are recorded, never silently discarded.</w:t>
      </w:r>
    </w:p>
    <w:p>
      <w:pPr>
        <w:pStyle w:val="Heading2"/>
      </w:pPr>
      <w:r>
        <w:rPr>
          <w:rFonts w:ascii="Calibri" w:hAnsi="Calibri"/>
          <w:color w:val="1F2937"/>
          <w:sz w:val="21"/>
        </w:rPr>
        <w:t>5.3 Job states</w:t>
      </w:r>
    </w:p>
    <w:p>
      <w:pPr>
        <w:spacing w:line="240" w:lineRule="auto"/>
        <w:ind w:left="259"/>
      </w:pPr>
      <w:r>
        <w:rPr>
          <w:rFonts w:ascii="Consolas" w:hAnsi="Consolas"/>
          <w:color w:val="0B2545"/>
          <w:sz w:val="17"/>
        </w:rPr>
        <w:t>RECEIVED → VERIFYING_OUTCOME → RESOLVING_LINEAGE → ELIGIBLE → ANALYZING → COMPLETED</w:t>
        <w:br/>
        <w:t xml:space="preserve">                                      └→ INELIGIBLE / LIMITED / FAILED / CANCELLED / SUPERSEDED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12" w:space="0" w:color="A66A00"/>
              <w:left w:val="single" w:sz="12" w:space="0" w:color="A66A00"/>
              <w:bottom w:val="single" w:sz="12" w:space="0" w:color="A66A00"/>
              <w:right w:val="single" w:sz="12" w:space="0" w:color="A66A00"/>
              <w:insideH w:val="single" w:sz="12" w:space="0" w:color="A66A00"/>
              <w:insideV w:val="single" w:sz="12" w:space="0" w:color="A66A00"/>
            </w:tcBorders>
            <w:vAlign w:val="center"/>
            <w:shd w:fill="F4F7FA"/>
          </w:tcPr>
          <w:p>
            <w:pPr>
              <w:spacing w:after="0"/>
            </w:pPr>
            <w:r>
              <w:rPr>
                <w:rFonts w:ascii="Calibri" w:hAnsi="Calibri"/>
                <w:b/>
                <w:color w:val="A66A00"/>
                <w:sz w:val="21"/>
              </w:rPr>
              <w:t xml:space="preserve">Important  </w:t>
            </w:r>
            <w:r>
              <w:rPr>
                <w:rFonts w:ascii="Calibri" w:hAnsi="Calibri"/>
                <w:color w:val="1F2937"/>
                <w:sz w:val="21"/>
              </w:rPr>
              <w:t>The final case decision wins when an alert-level decision conflicts with it. Decision-code meanings are not hardcoded; outcome_mapping_set and outcome_mapping_entry control interpretation for each institution.</w:t>
            </w:r>
          </w:p>
        </w:tc>
      </w:tr>
    </w:tbl>
    <w:p>
      <w:pPr>
        <w:spacing w:after="40"/>
      </w:pPr>
    </w:p>
    <w:p>
      <w:pPr>
        <w:pStyle w:val="Heading1"/>
      </w:pPr>
      <w:r>
        <w:rPr>
          <w:rFonts w:ascii="Calibri" w:hAnsi="Calibri"/>
          <w:color w:val="1F2937"/>
          <w:sz w:val="21"/>
        </w:rPr>
        <w:t>6. LangGraph workflow</w:t>
      </w:r>
    </w:p>
    <w:p>
      <w:r>
        <w:drawing>
          <wp:inline xmlns:a="http://schemas.openxmlformats.org/drawingml/2006/main" xmlns:pic="http://schemas.openxmlformats.org/drawingml/2006/picture">
            <wp:extent cx="5943600" cy="4358640"/>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943600" cy="4358640"/>
                    </a:xfrm>
                    <a:prstGeom prst="rect"/>
                  </pic:spPr>
                </pic:pic>
              </a:graphicData>
            </a:graphic>
          </wp:inline>
        </w:drawing>
      </w:r>
    </w:p>
    <w:p>
      <w:pPr>
        <w:spacing w:after="160"/>
        <w:jc w:val="center"/>
      </w:pPr>
      <w:r>
        <w:rPr>
          <w:rFonts w:ascii="Calibri" w:hAnsi="Calibri"/>
          <w:color w:val="5B677A"/>
          <w:sz w:val="17"/>
        </w:rPr>
        <w:t>Figure 2. Parent graph and per-rule analysis path</w:t>
      </w:r>
    </w:p>
    <w:p>
      <w:pPr>
        <w:pStyle w:val="Heading2"/>
      </w:pPr>
      <w:r>
        <w:rPr>
          <w:rFonts w:ascii="Calibri" w:hAnsi="Calibri"/>
          <w:color w:val="1F2937"/>
          <w:sz w:val="21"/>
        </w:rPr>
        <w:t>6.1 Parent graph nodes</w:t>
      </w:r>
    </w:p>
    <w:tbl>
      <w:tblPr>
        <w:tblW w:type="dxa" w:w="9360"/>
        <w:jc w:val="left"/>
        <w:tblLayout w:type="fixed"/>
        <w:tblLook w:firstColumn="1" w:firstRow="1" w:lastColumn="0" w:lastRow="0" w:noHBand="0" w:noVBand="1" w:val="04A0"/>
        <w:tblInd w:w="120" w:type="dxa"/>
      </w:tblPr>
      <w:tblGrid>
        <w:gridCol w:w="1500"/>
        <w:gridCol w:w="2100"/>
        <w:gridCol w:w="3600"/>
        <w:gridCol w:w="2160"/>
      </w:tblGrid>
      <w:tr>
        <w:tc>
          <w:tcPr>
            <w:tcW w:type="dxa" w:w="15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Node</w:t>
            </w:r>
          </w:p>
        </w:tc>
        <w:tc>
          <w:tcPr>
            <w:tcW w:type="dxa" w:w="21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Input</w:t>
            </w:r>
          </w:p>
        </w:tc>
        <w:tc>
          <w:tcPr>
            <w:tcW w:type="dxa" w:w="36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Processing</w:t>
            </w:r>
          </w:p>
        </w:tc>
        <w:tc>
          <w:tcPr>
            <w:tcW w:type="dxa" w:w="21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Output / next step</w:t>
            </w:r>
          </w:p>
        </w:tc>
      </w:tr>
      <w:tr>
        <w:trPr>
          <w:cantSplit/>
        </w:trPr>
        <w:tc>
          <w:tcPr>
            <w:tcW w:type="dxa" w:w="1500"/>
            <w:shd w:fill="FFFFFF"/>
          </w:tcPr>
          <w:p>
            <w:pPr>
              <w:spacing w:after="0"/>
            </w:pPr>
            <w:r>
              <w:rPr>
                <w:rFonts w:ascii="Calibri" w:hAnsi="Calibri"/>
                <w:color w:val="1F2937"/>
                <w:sz w:val="15"/>
              </w:rPr>
              <w:t>load_job</w:t>
            </w:r>
          </w:p>
        </w:tc>
        <w:tc>
          <w:tcPr>
            <w:tcW w:type="dxa" w:w="2100"/>
            <w:shd w:fill="FFFFFF"/>
          </w:tcPr>
          <w:p>
            <w:pPr>
              <w:spacing w:after="0"/>
            </w:pPr>
            <w:r>
              <w:rPr>
                <w:rFonts w:ascii="Calibri" w:hAnsi="Calibri"/>
                <w:color w:val="1F2937"/>
                <w:sz w:val="15"/>
              </w:rPr>
              <w:t>job_id</w:t>
            </w:r>
          </w:p>
        </w:tc>
        <w:tc>
          <w:tcPr>
            <w:tcW w:type="dxa" w:w="3600"/>
            <w:shd w:fill="FFFFFF"/>
          </w:tcPr>
          <w:p>
            <w:pPr>
              <w:spacing w:after="0"/>
            </w:pPr>
            <w:r>
              <w:rPr>
                <w:rFonts w:ascii="Calibri" w:hAnsi="Calibri"/>
                <w:color w:val="1F2937"/>
                <w:sz w:val="15"/>
              </w:rPr>
              <w:t>Load job, policy, versions and deadlines.</w:t>
            </w:r>
          </w:p>
        </w:tc>
        <w:tc>
          <w:tcPr>
            <w:tcW w:type="dxa" w:w="2160"/>
            <w:shd w:fill="FFFFFF"/>
          </w:tcPr>
          <w:p>
            <w:pPr>
              <w:spacing w:after="0"/>
            </w:pPr>
            <w:r>
              <w:rPr>
                <w:rFonts w:ascii="Calibri" w:hAnsi="Calibri"/>
                <w:color w:val="1F2937"/>
                <w:sz w:val="15"/>
              </w:rPr>
              <w:t>JobContext → verify_case</w:t>
            </w:r>
          </w:p>
        </w:tc>
      </w:tr>
      <w:tr>
        <w:trPr>
          <w:cantSplit/>
        </w:trPr>
        <w:tc>
          <w:tcPr>
            <w:tcW w:type="dxa" w:w="1500"/>
            <w:shd w:fill="F4F7FA"/>
          </w:tcPr>
          <w:p>
            <w:pPr>
              <w:spacing w:after="0"/>
            </w:pPr>
            <w:r>
              <w:rPr>
                <w:rFonts w:ascii="Calibri" w:hAnsi="Calibri"/>
                <w:color w:val="1F2937"/>
                <w:sz w:val="15"/>
              </w:rPr>
              <w:t>verify_case</w:t>
            </w:r>
          </w:p>
        </w:tc>
        <w:tc>
          <w:tcPr>
            <w:tcW w:type="dxa" w:w="2100"/>
            <w:shd w:fill="F4F7FA"/>
          </w:tcPr>
          <w:p>
            <w:pPr>
              <w:spacing w:after="0"/>
            </w:pPr>
            <w:r>
              <w:rPr>
                <w:rFonts w:ascii="Calibri" w:hAnsi="Calibri"/>
                <w:color w:val="1F2937"/>
                <w:sz w:val="15"/>
              </w:rPr>
              <w:t>institution_id, case_id</w:t>
            </w:r>
          </w:p>
        </w:tc>
        <w:tc>
          <w:tcPr>
            <w:tcW w:type="dxa" w:w="3600"/>
            <w:shd w:fill="F4F7FA"/>
          </w:tcPr>
          <w:p>
            <w:pPr>
              <w:spacing w:after="0"/>
            </w:pPr>
            <w:r>
              <w:rPr>
                <w:rFonts w:ascii="Calibri" w:hAnsi="Calibri"/>
                <w:color w:val="1F2937"/>
                <w:sz w:val="15"/>
              </w:rPr>
              <w:t>Predefined SQL confirms final eligible outcome and maturity.</w:t>
            </w:r>
          </w:p>
        </w:tc>
        <w:tc>
          <w:tcPr>
            <w:tcW w:type="dxa" w:w="2160"/>
            <w:shd w:fill="F4F7FA"/>
          </w:tcPr>
          <w:p>
            <w:pPr>
              <w:spacing w:after="0"/>
            </w:pPr>
            <w:r>
              <w:rPr>
                <w:rFonts w:ascii="Calibri" w:hAnsi="Calibri"/>
                <w:color w:val="1F2937"/>
                <w:sz w:val="15"/>
              </w:rPr>
              <w:t>VerifiedCase or stop → get_alerts</w:t>
            </w:r>
          </w:p>
        </w:tc>
      </w:tr>
      <w:tr>
        <w:trPr>
          <w:cantSplit/>
        </w:trPr>
        <w:tc>
          <w:tcPr>
            <w:tcW w:type="dxa" w:w="1500"/>
            <w:shd w:fill="FFFFFF"/>
          </w:tcPr>
          <w:p>
            <w:pPr>
              <w:spacing w:after="0"/>
            </w:pPr>
            <w:r>
              <w:rPr>
                <w:rFonts w:ascii="Calibri" w:hAnsi="Calibri"/>
                <w:color w:val="1F2937"/>
                <w:sz w:val="15"/>
              </w:rPr>
              <w:t>get_alerts</w:t>
            </w:r>
          </w:p>
        </w:tc>
        <w:tc>
          <w:tcPr>
            <w:tcW w:type="dxa" w:w="2100"/>
            <w:shd w:fill="FFFFFF"/>
          </w:tcPr>
          <w:p>
            <w:pPr>
              <w:spacing w:after="0"/>
            </w:pPr>
            <w:r>
              <w:rPr>
                <w:rFonts w:ascii="Calibri" w:hAnsi="Calibri"/>
                <w:color w:val="1F2937"/>
                <w:sz w:val="15"/>
              </w:rPr>
              <w:t>case_id</w:t>
            </w:r>
          </w:p>
        </w:tc>
        <w:tc>
          <w:tcPr>
            <w:tcW w:type="dxa" w:w="3600"/>
            <w:shd w:fill="FFFFFF"/>
          </w:tcPr>
          <w:p>
            <w:pPr>
              <w:spacing w:after="0"/>
            </w:pPr>
            <w:r>
              <w:rPr>
                <w:rFonts w:ascii="Calibri" w:hAnsi="Calibri"/>
                <w:color w:val="1F2937"/>
                <w:sz w:val="15"/>
              </w:rPr>
              <w:t>Read case-alert mappings with source/type.</w:t>
            </w:r>
          </w:p>
        </w:tc>
        <w:tc>
          <w:tcPr>
            <w:tcW w:type="dxa" w:w="2160"/>
            <w:shd w:fill="FFFFFF"/>
          </w:tcPr>
          <w:p>
            <w:pPr>
              <w:spacing w:after="0"/>
            </w:pPr>
            <w:r>
              <w:rPr>
                <w:rFonts w:ascii="Calibri" w:hAnsi="Calibri"/>
                <w:color w:val="1F2937"/>
                <w:sz w:val="15"/>
              </w:rPr>
              <w:t>AlertRefs → get_rule_matches</w:t>
            </w:r>
          </w:p>
        </w:tc>
      </w:tr>
      <w:tr>
        <w:trPr>
          <w:cantSplit/>
        </w:trPr>
        <w:tc>
          <w:tcPr>
            <w:tcW w:type="dxa" w:w="1500"/>
            <w:shd w:fill="F4F7FA"/>
          </w:tcPr>
          <w:p>
            <w:pPr>
              <w:spacing w:after="0"/>
            </w:pPr>
            <w:r>
              <w:rPr>
                <w:rFonts w:ascii="Calibri" w:hAnsi="Calibri"/>
                <w:color w:val="1F2937"/>
                <w:sz w:val="15"/>
              </w:rPr>
              <w:t>get_rule_matches</w:t>
            </w:r>
          </w:p>
        </w:tc>
        <w:tc>
          <w:tcPr>
            <w:tcW w:type="dxa" w:w="2100"/>
            <w:shd w:fill="F4F7FA"/>
          </w:tcPr>
          <w:p>
            <w:pPr>
              <w:spacing w:after="0"/>
            </w:pPr>
            <w:r>
              <w:rPr>
                <w:rFonts w:ascii="Calibri" w:hAnsi="Calibri"/>
                <w:color w:val="1F2937"/>
                <w:sz w:val="15"/>
              </w:rPr>
              <w:t>AlertRefs</w:t>
            </w:r>
          </w:p>
        </w:tc>
        <w:tc>
          <w:tcPr>
            <w:tcW w:type="dxa" w:w="3600"/>
            <w:shd w:fill="F4F7FA"/>
          </w:tcPr>
          <w:p>
            <w:pPr>
              <w:spacing w:after="0"/>
            </w:pPr>
            <w:r>
              <w:rPr>
                <w:rFonts w:ascii="Calibri" w:hAnsi="Calibri"/>
                <w:color w:val="1F2937"/>
                <w:sz w:val="15"/>
              </w:rPr>
              <w:t>Read result/match lineage, rule code and version.</w:t>
            </w:r>
          </w:p>
        </w:tc>
        <w:tc>
          <w:tcPr>
            <w:tcW w:type="dxa" w:w="2160"/>
            <w:shd w:fill="F4F7FA"/>
          </w:tcPr>
          <w:p>
            <w:pPr>
              <w:spacing w:after="0"/>
            </w:pPr>
            <w:r>
              <w:rPr>
                <w:rFonts w:ascii="Calibri" w:hAnsi="Calibri"/>
                <w:color w:val="1F2937"/>
                <w:sz w:val="15"/>
              </w:rPr>
              <w:t>RuleMatchLineage → select_rules</w:t>
            </w:r>
          </w:p>
        </w:tc>
      </w:tr>
      <w:tr>
        <w:trPr>
          <w:cantSplit/>
        </w:trPr>
        <w:tc>
          <w:tcPr>
            <w:tcW w:type="dxa" w:w="1500"/>
            <w:shd w:fill="FFFFFF"/>
          </w:tcPr>
          <w:p>
            <w:pPr>
              <w:spacing w:after="0"/>
            </w:pPr>
            <w:r>
              <w:rPr>
                <w:rFonts w:ascii="Calibri" w:hAnsi="Calibri"/>
                <w:color w:val="1F2937"/>
                <w:sz w:val="15"/>
              </w:rPr>
              <w:t>select_rules</w:t>
            </w:r>
          </w:p>
        </w:tc>
        <w:tc>
          <w:tcPr>
            <w:tcW w:type="dxa" w:w="2100"/>
            <w:shd w:fill="FFFFFF"/>
          </w:tcPr>
          <w:p>
            <w:pPr>
              <w:spacing w:after="0"/>
            </w:pPr>
            <w:r>
              <w:rPr>
                <w:rFonts w:ascii="Calibri" w:hAnsi="Calibri"/>
                <w:color w:val="1F2937"/>
                <w:sz w:val="15"/>
              </w:rPr>
              <w:t>RuleMatchLineage</w:t>
            </w:r>
          </w:p>
        </w:tc>
        <w:tc>
          <w:tcPr>
            <w:tcW w:type="dxa" w:w="3600"/>
            <w:shd w:fill="FFFFFF"/>
          </w:tcPr>
          <w:p>
            <w:pPr>
              <w:spacing w:after="0"/>
            </w:pPr>
            <w:r>
              <w:rPr>
                <w:rFonts w:ascii="Calibri" w:hAnsi="Calibri"/>
                <w:color w:val="1F2937"/>
                <w:sz w:val="15"/>
              </w:rPr>
              <w:t>Python deduplicates and records inclusion/exclusion.</w:t>
            </w:r>
          </w:p>
        </w:tc>
        <w:tc>
          <w:tcPr>
            <w:tcW w:type="dxa" w:w="2160"/>
            <w:shd w:fill="FFFFFF"/>
          </w:tcPr>
          <w:p>
            <w:pPr>
              <w:spacing w:after="0"/>
            </w:pPr>
            <w:r>
              <w:rPr>
                <w:rFonts w:ascii="Calibri" w:hAnsi="Calibri"/>
                <w:color w:val="1F2937"/>
                <w:sz w:val="15"/>
              </w:rPr>
              <w:t>RuleTargets → per-rule fan-out</w:t>
            </w:r>
          </w:p>
        </w:tc>
      </w:tr>
      <w:tr>
        <w:trPr>
          <w:cantSplit/>
        </w:trPr>
        <w:tc>
          <w:tcPr>
            <w:tcW w:type="dxa" w:w="1500"/>
            <w:shd w:fill="F4F7FA"/>
          </w:tcPr>
          <w:p>
            <w:pPr>
              <w:spacing w:after="0"/>
            </w:pPr>
            <w:r>
              <w:rPr>
                <w:rFonts w:ascii="Calibri" w:hAnsi="Calibri"/>
                <w:color w:val="1F2937"/>
                <w:sz w:val="15"/>
              </w:rPr>
              <w:t>fanout_rules</w:t>
            </w:r>
          </w:p>
        </w:tc>
        <w:tc>
          <w:tcPr>
            <w:tcW w:type="dxa" w:w="2100"/>
            <w:shd w:fill="F4F7FA"/>
          </w:tcPr>
          <w:p>
            <w:pPr>
              <w:spacing w:after="0"/>
            </w:pPr>
            <w:r>
              <w:rPr>
                <w:rFonts w:ascii="Calibri" w:hAnsi="Calibri"/>
                <w:color w:val="1F2937"/>
                <w:sz w:val="15"/>
              </w:rPr>
              <w:t>RuleTargets</w:t>
            </w:r>
          </w:p>
        </w:tc>
        <w:tc>
          <w:tcPr>
            <w:tcW w:type="dxa" w:w="3600"/>
            <w:shd w:fill="F4F7FA"/>
          </w:tcPr>
          <w:p>
            <w:pPr>
              <w:spacing w:after="0"/>
            </w:pPr>
            <w:r>
              <w:rPr>
                <w:rFonts w:ascii="Calibri" w:hAnsi="Calibri"/>
                <w:color w:val="1F2937"/>
                <w:sz w:val="15"/>
              </w:rPr>
              <w:t>Run isolated rule subgraphs with bounded concurrency.</w:t>
            </w:r>
          </w:p>
        </w:tc>
        <w:tc>
          <w:tcPr>
            <w:tcW w:type="dxa" w:w="2160"/>
            <w:shd w:fill="F4F7FA"/>
          </w:tcPr>
          <w:p>
            <w:pPr>
              <w:spacing w:after="0"/>
            </w:pPr>
            <w:r>
              <w:rPr>
                <w:rFonts w:ascii="Calibri" w:hAnsi="Calibri"/>
                <w:color w:val="1F2937"/>
                <w:sz w:val="15"/>
              </w:rPr>
              <w:t>RuleRun IDs → collect_results</w:t>
            </w:r>
          </w:p>
        </w:tc>
      </w:tr>
      <w:tr>
        <w:trPr>
          <w:cantSplit/>
        </w:trPr>
        <w:tc>
          <w:tcPr>
            <w:tcW w:type="dxa" w:w="1500"/>
            <w:shd w:fill="FFFFFF"/>
          </w:tcPr>
          <w:p>
            <w:pPr>
              <w:spacing w:after="0"/>
            </w:pPr>
            <w:r>
              <w:rPr>
                <w:rFonts w:ascii="Calibri" w:hAnsi="Calibri"/>
                <w:color w:val="1F2937"/>
                <w:sz w:val="15"/>
              </w:rPr>
              <w:t>collect_results</w:t>
            </w:r>
          </w:p>
        </w:tc>
        <w:tc>
          <w:tcPr>
            <w:tcW w:type="dxa" w:w="2100"/>
            <w:shd w:fill="FFFFFF"/>
          </w:tcPr>
          <w:p>
            <w:pPr>
              <w:spacing w:after="0"/>
            </w:pPr>
            <w:r>
              <w:rPr>
                <w:rFonts w:ascii="Calibri" w:hAnsi="Calibri"/>
                <w:color w:val="1F2937"/>
                <w:sz w:val="15"/>
              </w:rPr>
              <w:t>RuleRun IDs</w:t>
            </w:r>
          </w:p>
        </w:tc>
        <w:tc>
          <w:tcPr>
            <w:tcW w:type="dxa" w:w="3600"/>
            <w:shd w:fill="FFFFFF"/>
          </w:tcPr>
          <w:p>
            <w:pPr>
              <w:spacing w:after="0"/>
            </w:pPr>
            <w:r>
              <w:rPr>
                <w:rFonts w:ascii="Calibri" w:hAnsi="Calibri"/>
                <w:color w:val="1F2937"/>
                <w:sz w:val="15"/>
              </w:rPr>
              <w:t>Join results, failures and limitations.</w:t>
            </w:r>
          </w:p>
        </w:tc>
        <w:tc>
          <w:tcPr>
            <w:tcW w:type="dxa" w:w="2160"/>
            <w:shd w:fill="FFFFFF"/>
          </w:tcPr>
          <w:p>
            <w:pPr>
              <w:spacing w:after="0"/>
            </w:pPr>
            <w:r>
              <w:rPr>
                <w:rFonts w:ascii="Calibri" w:hAnsi="Calibri"/>
                <w:color w:val="1F2937"/>
                <w:sz w:val="15"/>
              </w:rPr>
              <w:t>Job summary → complete_job</w:t>
            </w:r>
          </w:p>
        </w:tc>
      </w:tr>
      <w:tr>
        <w:trPr>
          <w:cantSplit/>
        </w:trPr>
        <w:tc>
          <w:tcPr>
            <w:tcW w:type="dxa" w:w="1500"/>
            <w:shd w:fill="F4F7FA"/>
          </w:tcPr>
          <w:p>
            <w:pPr>
              <w:spacing w:after="0"/>
            </w:pPr>
            <w:r>
              <w:rPr>
                <w:rFonts w:ascii="Calibri" w:hAnsi="Calibri"/>
                <w:color w:val="1F2937"/>
                <w:sz w:val="15"/>
              </w:rPr>
              <w:t>complete_job</w:t>
            </w:r>
          </w:p>
        </w:tc>
        <w:tc>
          <w:tcPr>
            <w:tcW w:type="dxa" w:w="2100"/>
            <w:shd w:fill="F4F7FA"/>
          </w:tcPr>
          <w:p>
            <w:pPr>
              <w:spacing w:after="0"/>
            </w:pPr>
            <w:r>
              <w:rPr>
                <w:rFonts w:ascii="Calibri" w:hAnsi="Calibri"/>
                <w:color w:val="1F2937"/>
                <w:sz w:val="15"/>
              </w:rPr>
              <w:t>Job summary</w:t>
            </w:r>
          </w:p>
        </w:tc>
        <w:tc>
          <w:tcPr>
            <w:tcW w:type="dxa" w:w="3600"/>
            <w:shd w:fill="F4F7FA"/>
          </w:tcPr>
          <w:p>
            <w:pPr>
              <w:spacing w:after="0"/>
            </w:pPr>
            <w:r>
              <w:rPr>
                <w:rFonts w:ascii="Calibri" w:hAnsi="Calibri"/>
                <w:color w:val="1F2937"/>
                <w:sz w:val="15"/>
              </w:rPr>
              <w:t>Update status, publish completion and expose API result.</w:t>
            </w:r>
          </w:p>
        </w:tc>
        <w:tc>
          <w:tcPr>
            <w:tcW w:type="dxa" w:w="2160"/>
            <w:shd w:fill="F4F7FA"/>
          </w:tcPr>
          <w:p>
            <w:pPr>
              <w:spacing w:after="0"/>
            </w:pPr>
            <w:r>
              <w:rPr>
                <w:rFonts w:ascii="Calibri" w:hAnsi="Calibri"/>
                <w:color w:val="1F2937"/>
                <w:sz w:val="15"/>
              </w:rPr>
              <w:t>COMPLETED / LIMITED / FAILED</w:t>
            </w:r>
          </w:p>
        </w:tc>
      </w:tr>
    </w:tbl>
    <w:p>
      <w:pPr>
        <w:spacing w:after="40"/>
      </w:pPr>
    </w:p>
    <w:p>
      <w:pPr>
        <w:pStyle w:val="Heading2"/>
      </w:pPr>
      <w:r>
        <w:rPr>
          <w:rFonts w:ascii="Calibri" w:hAnsi="Calibri"/>
          <w:color w:val="1F2937"/>
          <w:sz w:val="21"/>
        </w:rPr>
        <w:t>6.2 Per-rule subgraph nodes</w:t>
      </w:r>
    </w:p>
    <w:tbl>
      <w:tblPr>
        <w:tblW w:type="dxa" w:w="9360"/>
        <w:jc w:val="left"/>
        <w:tblLayout w:type="fixed"/>
        <w:tblLook w:firstColumn="1" w:firstRow="1" w:lastColumn="0" w:lastRow="0" w:noHBand="0" w:noVBand="1" w:val="04A0"/>
        <w:tblInd w:w="120" w:type="dxa"/>
      </w:tblPr>
      <w:tblGrid>
        <w:gridCol w:w="1700"/>
        <w:gridCol w:w="2650"/>
        <w:gridCol w:w="3900"/>
        <w:gridCol w:w="1110"/>
      </w:tblGrid>
      <w:tr>
        <w:tc>
          <w:tcPr>
            <w:tcW w:type="dxa" w:w="17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Node</w:t>
            </w:r>
          </w:p>
        </w:tc>
        <w:tc>
          <w:tcPr>
            <w:tcW w:type="dxa" w:w="265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Tool / component</w:t>
            </w:r>
          </w:p>
        </w:tc>
        <w:tc>
          <w:tcPr>
            <w:tcW w:type="dxa" w:w="39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Input → output</w:t>
            </w:r>
          </w:p>
        </w:tc>
        <w:tc>
          <w:tcPr>
            <w:tcW w:type="dxa" w:w="111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LLM?</w:t>
            </w:r>
          </w:p>
        </w:tc>
      </w:tr>
      <w:tr>
        <w:trPr>
          <w:cantSplit/>
        </w:trPr>
        <w:tc>
          <w:tcPr>
            <w:tcW w:type="dxa" w:w="1700"/>
            <w:shd w:fill="FFFFFF"/>
          </w:tcPr>
          <w:p>
            <w:pPr>
              <w:spacing w:after="0"/>
            </w:pPr>
            <w:r>
              <w:rPr>
                <w:rFonts w:ascii="Calibri" w:hAnsi="Calibri"/>
                <w:color w:val="1F2937"/>
                <w:sz w:val="15"/>
              </w:rPr>
              <w:t>resolve_configuration</w:t>
            </w:r>
          </w:p>
        </w:tc>
        <w:tc>
          <w:tcPr>
            <w:tcW w:type="dxa" w:w="2650"/>
            <w:shd w:fill="FFFFFF"/>
          </w:tcPr>
          <w:p>
            <w:pPr>
              <w:spacing w:after="0"/>
            </w:pPr>
            <w:r>
              <w:rPr>
                <w:rFonts w:ascii="Calibri" w:hAnsi="Calibri"/>
                <w:color w:val="1F2937"/>
                <w:sz w:val="15"/>
              </w:rPr>
              <w:t>rule.get_configuration_bundle</w:t>
            </w:r>
          </w:p>
        </w:tc>
        <w:tc>
          <w:tcPr>
            <w:tcW w:type="dxa" w:w="3900"/>
            <w:shd w:fill="FFFFFF"/>
          </w:tcPr>
          <w:p>
            <w:pPr>
              <w:spacing w:after="0"/>
            </w:pPr>
            <w:r>
              <w:rPr>
                <w:rFonts w:ascii="Calibri" w:hAnsi="Calibri"/>
                <w:color w:val="1F2937"/>
                <w:sz w:val="15"/>
              </w:rPr>
              <w:t>Rule target + match time → bundle and evidence.</w:t>
            </w:r>
          </w:p>
        </w:tc>
        <w:tc>
          <w:tcPr>
            <w:tcW w:type="dxa" w:w="1110"/>
            <w:shd w:fill="FFFFFF"/>
          </w:tcPr>
          <w:p>
            <w:pPr>
              <w:spacing w:after="0"/>
            </w:pPr>
            <w:r>
              <w:rPr>
                <w:rFonts w:ascii="Calibri" w:hAnsi="Calibri"/>
                <w:color w:val="1F2937"/>
                <w:sz w:val="15"/>
              </w:rPr>
              <w:t>No</w:t>
            </w:r>
          </w:p>
        </w:tc>
      </w:tr>
      <w:tr>
        <w:trPr>
          <w:cantSplit/>
        </w:trPr>
        <w:tc>
          <w:tcPr>
            <w:tcW w:type="dxa" w:w="1700"/>
            <w:shd w:fill="F4F7FA"/>
          </w:tcPr>
          <w:p>
            <w:pPr>
              <w:spacing w:after="0"/>
            </w:pPr>
            <w:r>
              <w:rPr>
                <w:rFonts w:ascii="Calibri" w:hAnsi="Calibri"/>
                <w:color w:val="1F2937"/>
                <w:sz w:val="15"/>
              </w:rPr>
              <w:t>plan_snapshot</w:t>
            </w:r>
          </w:p>
        </w:tc>
        <w:tc>
          <w:tcPr>
            <w:tcW w:type="dxa" w:w="2650"/>
            <w:shd w:fill="F4F7FA"/>
          </w:tcPr>
          <w:p>
            <w:pPr>
              <w:spacing w:after="0"/>
            </w:pPr>
            <w:r>
              <w:rPr>
                <w:rFonts w:ascii="Calibri" w:hAnsi="Calibri"/>
                <w:color w:val="1F2937"/>
                <w:sz w:val="15"/>
              </w:rPr>
              <w:t>optimizer.plan_snapshot</w:t>
            </w:r>
          </w:p>
        </w:tc>
        <w:tc>
          <w:tcPr>
            <w:tcW w:type="dxa" w:w="3900"/>
            <w:shd w:fill="F4F7FA"/>
          </w:tcPr>
          <w:p>
            <w:pPr>
              <w:spacing w:after="0"/>
            </w:pPr>
            <w:r>
              <w:rPr>
                <w:rFonts w:ascii="Calibri" w:hAnsi="Calibri"/>
                <w:color w:val="1F2937"/>
                <w:sz w:val="15"/>
              </w:rPr>
              <w:t>Rule/config/policy → bounded SnapshotPlan.</w:t>
            </w:r>
          </w:p>
        </w:tc>
        <w:tc>
          <w:tcPr>
            <w:tcW w:type="dxa" w:w="1110"/>
            <w:shd w:fill="F4F7FA"/>
          </w:tcPr>
          <w:p>
            <w:pPr>
              <w:spacing w:after="0"/>
            </w:pPr>
            <w:r>
              <w:rPr>
                <w:rFonts w:ascii="Calibri" w:hAnsi="Calibri"/>
                <w:color w:val="1F2937"/>
                <w:sz w:val="15"/>
              </w:rPr>
              <w:t>No</w:t>
            </w:r>
          </w:p>
        </w:tc>
      </w:tr>
      <w:tr>
        <w:trPr>
          <w:cantSplit/>
        </w:trPr>
        <w:tc>
          <w:tcPr>
            <w:tcW w:type="dxa" w:w="1700"/>
            <w:shd w:fill="FFFFFF"/>
          </w:tcPr>
          <w:p>
            <w:pPr>
              <w:spacing w:after="0"/>
            </w:pPr>
            <w:r>
              <w:rPr>
                <w:rFonts w:ascii="Calibri" w:hAnsi="Calibri"/>
                <w:color w:val="1F2937"/>
                <w:sz w:val="15"/>
              </w:rPr>
              <w:t>build_snapshot</w:t>
            </w:r>
          </w:p>
        </w:tc>
        <w:tc>
          <w:tcPr>
            <w:tcW w:type="dxa" w:w="2650"/>
            <w:shd w:fill="FFFFFF"/>
          </w:tcPr>
          <w:p>
            <w:pPr>
              <w:spacing w:after="0"/>
            </w:pPr>
            <w:r>
              <w:rPr>
                <w:rFonts w:ascii="Calibri" w:hAnsi="Calibri"/>
                <w:color w:val="1F2937"/>
                <w:sz w:val="15"/>
              </w:rPr>
              <w:t>optimizer.build_snapshot</w:t>
            </w:r>
          </w:p>
        </w:tc>
        <w:tc>
          <w:tcPr>
            <w:tcW w:type="dxa" w:w="3900"/>
            <w:shd w:fill="FFFFFF"/>
          </w:tcPr>
          <w:p>
            <w:pPr>
              <w:spacing w:after="0"/>
            </w:pPr>
            <w:r>
              <w:rPr>
                <w:rFonts w:ascii="Calibri" w:hAnsi="Calibri"/>
                <w:color w:val="1F2937"/>
                <w:sz w:val="15"/>
              </w:rPr>
              <w:t>SnapshotPlan → manifest + artifact parts.</w:t>
            </w:r>
          </w:p>
        </w:tc>
        <w:tc>
          <w:tcPr>
            <w:tcW w:type="dxa" w:w="1110"/>
            <w:shd w:fill="FFFFFF"/>
          </w:tcPr>
          <w:p>
            <w:pPr>
              <w:spacing w:after="0"/>
            </w:pPr>
            <w:r>
              <w:rPr>
                <w:rFonts w:ascii="Calibri" w:hAnsi="Calibri"/>
                <w:color w:val="1F2937"/>
                <w:sz w:val="15"/>
              </w:rPr>
              <w:t>No</w:t>
            </w:r>
          </w:p>
        </w:tc>
      </w:tr>
      <w:tr>
        <w:trPr>
          <w:cantSplit/>
        </w:trPr>
        <w:tc>
          <w:tcPr>
            <w:tcW w:type="dxa" w:w="1700"/>
            <w:shd w:fill="F4F7FA"/>
          </w:tcPr>
          <w:p>
            <w:pPr>
              <w:spacing w:after="0"/>
            </w:pPr>
            <w:r>
              <w:rPr>
                <w:rFonts w:ascii="Calibri" w:hAnsi="Calibri"/>
                <w:color w:val="1F2937"/>
                <w:sz w:val="15"/>
              </w:rPr>
              <w:t>validate_snapshot</w:t>
            </w:r>
          </w:p>
        </w:tc>
        <w:tc>
          <w:tcPr>
            <w:tcW w:type="dxa" w:w="2650"/>
            <w:shd w:fill="F4F7FA"/>
          </w:tcPr>
          <w:p>
            <w:pPr>
              <w:spacing w:after="0"/>
            </w:pPr>
            <w:r>
              <w:rPr>
                <w:rFonts w:ascii="Calibri" w:hAnsi="Calibri"/>
                <w:color w:val="1F2937"/>
                <w:sz w:val="15"/>
              </w:rPr>
              <w:t>snapshot.validate</w:t>
            </w:r>
          </w:p>
        </w:tc>
        <w:tc>
          <w:tcPr>
            <w:tcW w:type="dxa" w:w="3900"/>
            <w:shd w:fill="F4F7FA"/>
          </w:tcPr>
          <w:p>
            <w:pPr>
              <w:spacing w:after="0"/>
            </w:pPr>
            <w:r>
              <w:rPr>
                <w:rFonts w:ascii="Calibri" w:hAnsi="Calibri"/>
                <w:color w:val="1F2937"/>
                <w:sz w:val="15"/>
              </w:rPr>
              <w:t>Snapshot ID → quality gates and readiness.</w:t>
            </w:r>
          </w:p>
        </w:tc>
        <w:tc>
          <w:tcPr>
            <w:tcW w:type="dxa" w:w="1110"/>
            <w:shd w:fill="F4F7FA"/>
          </w:tcPr>
          <w:p>
            <w:pPr>
              <w:spacing w:after="0"/>
            </w:pPr>
            <w:r>
              <w:rPr>
                <w:rFonts w:ascii="Calibri" w:hAnsi="Calibri"/>
                <w:color w:val="1F2937"/>
                <w:sz w:val="15"/>
              </w:rPr>
              <w:t>No</w:t>
            </w:r>
          </w:p>
        </w:tc>
      </w:tr>
      <w:tr>
        <w:trPr>
          <w:cantSplit/>
        </w:trPr>
        <w:tc>
          <w:tcPr>
            <w:tcW w:type="dxa" w:w="1700"/>
            <w:shd w:fill="FFFFFF"/>
          </w:tcPr>
          <w:p>
            <w:pPr>
              <w:spacing w:after="0"/>
            </w:pPr>
            <w:r>
              <w:rPr>
                <w:rFonts w:ascii="Calibri" w:hAnsi="Calibri"/>
                <w:color w:val="1F2937"/>
                <w:sz w:val="15"/>
              </w:rPr>
              <w:t>health</w:t>
            </w:r>
          </w:p>
        </w:tc>
        <w:tc>
          <w:tcPr>
            <w:tcW w:type="dxa" w:w="2650"/>
            <w:shd w:fill="FFFFFF"/>
          </w:tcPr>
          <w:p>
            <w:pPr>
              <w:spacing w:after="0"/>
            </w:pPr>
            <w:r>
              <w:rPr>
                <w:rFonts w:ascii="Calibri" w:hAnsi="Calibri"/>
                <w:color w:val="1F2937"/>
                <w:sz w:val="15"/>
              </w:rPr>
              <w:t>analytics.calculate_rule_health</w:t>
            </w:r>
          </w:p>
        </w:tc>
        <w:tc>
          <w:tcPr>
            <w:tcW w:type="dxa" w:w="3900"/>
            <w:shd w:fill="FFFFFF"/>
          </w:tcPr>
          <w:p>
            <w:pPr>
              <w:spacing w:after="0"/>
            </w:pPr>
            <w:r>
              <w:rPr>
                <w:rFonts w:ascii="Calibri" w:hAnsi="Calibri"/>
                <w:color w:val="1F2937"/>
                <w:sz w:val="15"/>
              </w:rPr>
              <w:t>Validated snapshot → health metrics.</w:t>
            </w:r>
          </w:p>
        </w:tc>
        <w:tc>
          <w:tcPr>
            <w:tcW w:type="dxa" w:w="1110"/>
            <w:shd w:fill="FFFFFF"/>
          </w:tcPr>
          <w:p>
            <w:pPr>
              <w:spacing w:after="0"/>
            </w:pPr>
            <w:r>
              <w:rPr>
                <w:rFonts w:ascii="Calibri" w:hAnsi="Calibri"/>
                <w:color w:val="1F2937"/>
                <w:sz w:val="15"/>
              </w:rPr>
              <w:t>No</w:t>
            </w:r>
          </w:p>
        </w:tc>
      </w:tr>
      <w:tr>
        <w:trPr>
          <w:cantSplit/>
        </w:trPr>
        <w:tc>
          <w:tcPr>
            <w:tcW w:type="dxa" w:w="1700"/>
            <w:shd w:fill="F4F7FA"/>
          </w:tcPr>
          <w:p>
            <w:pPr>
              <w:spacing w:after="0"/>
            </w:pPr>
            <w:r>
              <w:rPr>
                <w:rFonts w:ascii="Calibri" w:hAnsi="Calibri"/>
                <w:color w:val="1F2937"/>
                <w:sz w:val="15"/>
              </w:rPr>
              <w:t>decay</w:t>
            </w:r>
          </w:p>
        </w:tc>
        <w:tc>
          <w:tcPr>
            <w:tcW w:type="dxa" w:w="2650"/>
            <w:shd w:fill="F4F7FA"/>
          </w:tcPr>
          <w:p>
            <w:pPr>
              <w:spacing w:after="0"/>
            </w:pPr>
            <w:r>
              <w:rPr>
                <w:rFonts w:ascii="Calibri" w:hAnsi="Calibri"/>
                <w:color w:val="1F2937"/>
                <w:sz w:val="15"/>
              </w:rPr>
              <w:t>analytics.detect_rule_decay</w:t>
            </w:r>
          </w:p>
        </w:tc>
        <w:tc>
          <w:tcPr>
            <w:tcW w:type="dxa" w:w="3900"/>
            <w:shd w:fill="F4F7FA"/>
          </w:tcPr>
          <w:p>
            <w:pPr>
              <w:spacing w:after="0"/>
            </w:pPr>
            <w:r>
              <w:rPr>
                <w:rFonts w:ascii="Calibri" w:hAnsi="Calibri"/>
                <w:color w:val="1F2937"/>
                <w:sz w:val="15"/>
              </w:rPr>
              <w:t>Baseline/recent metrics → decay finding.</w:t>
            </w:r>
          </w:p>
        </w:tc>
        <w:tc>
          <w:tcPr>
            <w:tcW w:type="dxa" w:w="1110"/>
            <w:shd w:fill="F4F7FA"/>
          </w:tcPr>
          <w:p>
            <w:pPr>
              <w:spacing w:after="0"/>
            </w:pPr>
            <w:r>
              <w:rPr>
                <w:rFonts w:ascii="Calibri" w:hAnsi="Calibri"/>
                <w:color w:val="1F2937"/>
                <w:sz w:val="15"/>
              </w:rPr>
              <w:t>No</w:t>
            </w:r>
          </w:p>
        </w:tc>
      </w:tr>
      <w:tr>
        <w:trPr>
          <w:cantSplit/>
        </w:trPr>
        <w:tc>
          <w:tcPr>
            <w:tcW w:type="dxa" w:w="1700"/>
            <w:shd w:fill="FFFFFF"/>
          </w:tcPr>
          <w:p>
            <w:pPr>
              <w:spacing w:after="0"/>
            </w:pPr>
            <w:r>
              <w:rPr>
                <w:rFonts w:ascii="Calibri" w:hAnsi="Calibri"/>
                <w:color w:val="1F2937"/>
                <w:sz w:val="15"/>
              </w:rPr>
              <w:t>threshold</w:t>
            </w:r>
          </w:p>
        </w:tc>
        <w:tc>
          <w:tcPr>
            <w:tcW w:type="dxa" w:w="2650"/>
            <w:shd w:fill="FFFFFF"/>
          </w:tcPr>
          <w:p>
            <w:pPr>
              <w:spacing w:after="0"/>
            </w:pPr>
            <w:r>
              <w:rPr>
                <w:rFonts w:ascii="Calibri" w:hAnsi="Calibri"/>
                <w:color w:val="1F2937"/>
                <w:sz w:val="15"/>
              </w:rPr>
              <w:t>analytics.analyse_threshold</w:t>
            </w:r>
          </w:p>
        </w:tc>
        <w:tc>
          <w:tcPr>
            <w:tcW w:type="dxa" w:w="3900"/>
            <w:shd w:fill="FFFFFF"/>
          </w:tcPr>
          <w:p>
            <w:pPr>
              <w:spacing w:after="0"/>
            </w:pPr>
            <w:r>
              <w:rPr>
                <w:rFonts w:ascii="Calibri" w:hAnsi="Calibri"/>
                <w:color w:val="1F2937"/>
                <w:sz w:val="15"/>
              </w:rPr>
              <w:t>Snapshot + config → sensitivity finding.</w:t>
            </w:r>
          </w:p>
        </w:tc>
        <w:tc>
          <w:tcPr>
            <w:tcW w:type="dxa" w:w="1110"/>
            <w:shd w:fill="FFFFFF"/>
          </w:tcPr>
          <w:p>
            <w:pPr>
              <w:spacing w:after="0"/>
            </w:pPr>
            <w:r>
              <w:rPr>
                <w:rFonts w:ascii="Calibri" w:hAnsi="Calibri"/>
                <w:color w:val="1F2937"/>
                <w:sz w:val="15"/>
              </w:rPr>
              <w:t>No</w:t>
            </w:r>
          </w:p>
        </w:tc>
      </w:tr>
      <w:tr>
        <w:trPr>
          <w:cantSplit/>
        </w:trPr>
        <w:tc>
          <w:tcPr>
            <w:tcW w:type="dxa" w:w="1700"/>
            <w:shd w:fill="F4F7FA"/>
          </w:tcPr>
          <w:p>
            <w:pPr>
              <w:spacing w:after="0"/>
            </w:pPr>
            <w:r>
              <w:rPr>
                <w:rFonts w:ascii="Calibri" w:hAnsi="Calibri"/>
                <w:color w:val="1F2937"/>
                <w:sz w:val="15"/>
              </w:rPr>
              <w:t>overlap</w:t>
            </w:r>
          </w:p>
        </w:tc>
        <w:tc>
          <w:tcPr>
            <w:tcW w:type="dxa" w:w="2650"/>
            <w:shd w:fill="F4F7FA"/>
          </w:tcPr>
          <w:p>
            <w:pPr>
              <w:spacing w:after="0"/>
            </w:pPr>
            <w:r>
              <w:rPr>
                <w:rFonts w:ascii="Calibri" w:hAnsi="Calibri"/>
                <w:color w:val="1F2937"/>
                <w:sz w:val="15"/>
              </w:rPr>
              <w:t>analytics.analyse_overlap_and_leakage</w:t>
            </w:r>
          </w:p>
        </w:tc>
        <w:tc>
          <w:tcPr>
            <w:tcW w:type="dxa" w:w="3900"/>
            <w:shd w:fill="F4F7FA"/>
          </w:tcPr>
          <w:p>
            <w:pPr>
              <w:spacing w:after="0"/>
            </w:pPr>
            <w:r>
              <w:rPr>
                <w:rFonts w:ascii="Calibri" w:hAnsi="Calibri"/>
                <w:color w:val="1F2937"/>
                <w:sz w:val="15"/>
              </w:rPr>
              <w:t>Lineage + snapshot → overlap/gap finding.</w:t>
            </w:r>
          </w:p>
        </w:tc>
        <w:tc>
          <w:tcPr>
            <w:tcW w:type="dxa" w:w="1110"/>
            <w:shd w:fill="F4F7FA"/>
          </w:tcPr>
          <w:p>
            <w:pPr>
              <w:spacing w:after="0"/>
            </w:pPr>
            <w:r>
              <w:rPr>
                <w:rFonts w:ascii="Calibri" w:hAnsi="Calibri"/>
                <w:color w:val="1F2937"/>
                <w:sz w:val="15"/>
              </w:rPr>
              <w:t>No</w:t>
            </w:r>
          </w:p>
        </w:tc>
      </w:tr>
      <w:tr>
        <w:trPr>
          <w:cantSplit/>
        </w:trPr>
        <w:tc>
          <w:tcPr>
            <w:tcW w:type="dxa" w:w="1700"/>
            <w:shd w:fill="FFFFFF"/>
          </w:tcPr>
          <w:p>
            <w:pPr>
              <w:spacing w:after="0"/>
            </w:pPr>
            <w:r>
              <w:rPr>
                <w:rFonts w:ascii="Calibri" w:hAnsi="Calibri"/>
                <w:color w:val="1F2937"/>
                <w:sz w:val="15"/>
              </w:rPr>
              <w:t>strategy</w:t>
            </w:r>
          </w:p>
        </w:tc>
        <w:tc>
          <w:tcPr>
            <w:tcW w:type="dxa" w:w="2650"/>
            <w:shd w:fill="FFFFFF"/>
          </w:tcPr>
          <w:p>
            <w:pPr>
              <w:spacing w:after="0"/>
            </w:pPr>
            <w:r>
              <w:rPr>
                <w:rFonts w:ascii="Calibri" w:hAnsi="Calibri"/>
                <w:color w:val="1F2937"/>
                <w:sz w:val="15"/>
              </w:rPr>
              <w:t>strategy.build</w:t>
            </w:r>
          </w:p>
        </w:tc>
        <w:tc>
          <w:tcPr>
            <w:tcW w:type="dxa" w:w="3900"/>
            <w:shd w:fill="FFFFFF"/>
          </w:tcPr>
          <w:p>
            <w:pPr>
              <w:spacing w:after="0"/>
            </w:pPr>
            <w:r>
              <w:rPr>
                <w:rFonts w:ascii="Calibri" w:hAnsi="Calibri"/>
                <w:color w:val="1F2937"/>
                <w:sz w:val="15"/>
              </w:rPr>
              <w:t>Findings + policy → bounded strategy items.</w:t>
            </w:r>
          </w:p>
        </w:tc>
        <w:tc>
          <w:tcPr>
            <w:tcW w:type="dxa" w:w="1110"/>
            <w:shd w:fill="FFFFFF"/>
          </w:tcPr>
          <w:p>
            <w:pPr>
              <w:spacing w:after="0"/>
            </w:pPr>
            <w:r>
              <w:rPr>
                <w:rFonts w:ascii="Calibri" w:hAnsi="Calibri"/>
                <w:color w:val="1F2937"/>
                <w:sz w:val="15"/>
              </w:rPr>
              <w:t>No in Phase 1</w:t>
            </w:r>
          </w:p>
        </w:tc>
      </w:tr>
      <w:tr>
        <w:trPr>
          <w:cantSplit/>
        </w:trPr>
        <w:tc>
          <w:tcPr>
            <w:tcW w:type="dxa" w:w="1700"/>
            <w:shd w:fill="F4F7FA"/>
          </w:tcPr>
          <w:p>
            <w:pPr>
              <w:spacing w:after="0"/>
            </w:pPr>
            <w:r>
              <w:rPr>
                <w:rFonts w:ascii="Calibri" w:hAnsi="Calibri"/>
                <w:color w:val="1F2937"/>
                <w:sz w:val="15"/>
              </w:rPr>
              <w:t>explain</w:t>
            </w:r>
          </w:p>
        </w:tc>
        <w:tc>
          <w:tcPr>
            <w:tcW w:type="dxa" w:w="2650"/>
            <w:shd w:fill="F4F7FA"/>
          </w:tcPr>
          <w:p>
            <w:pPr>
              <w:spacing w:after="0"/>
            </w:pPr>
            <w:r>
              <w:rPr>
                <w:rFonts w:ascii="Calibri" w:hAnsi="Calibri"/>
                <w:color w:val="1F2937"/>
                <w:sz w:val="15"/>
              </w:rPr>
              <w:t>llm.generate_explanation</w:t>
            </w:r>
          </w:p>
        </w:tc>
        <w:tc>
          <w:tcPr>
            <w:tcW w:type="dxa" w:w="3900"/>
            <w:shd w:fill="F4F7FA"/>
          </w:tcPr>
          <w:p>
            <w:pPr>
              <w:spacing w:after="0"/>
            </w:pPr>
            <w:r>
              <w:rPr>
                <w:rFonts w:ascii="Calibri" w:hAnsi="Calibri"/>
                <w:color w:val="1F2937"/>
                <w:sz w:val="15"/>
              </w:rPr>
              <w:t>Findings + strategy → explanation artifact.</w:t>
            </w:r>
          </w:p>
        </w:tc>
        <w:tc>
          <w:tcPr>
            <w:tcW w:type="dxa" w:w="1110"/>
            <w:shd w:fill="F4F7FA"/>
          </w:tcPr>
          <w:p>
            <w:pPr>
              <w:spacing w:after="0"/>
            </w:pPr>
            <w:r>
              <w:rPr>
                <w:rFonts w:ascii="Calibri" w:hAnsi="Calibri"/>
                <w:color w:val="1F2937"/>
                <w:sz w:val="15"/>
              </w:rPr>
              <w:t>Optional; here only</w:t>
            </w:r>
          </w:p>
        </w:tc>
      </w:tr>
      <w:tr>
        <w:trPr>
          <w:cantSplit/>
        </w:trPr>
        <w:tc>
          <w:tcPr>
            <w:tcW w:type="dxa" w:w="1700"/>
            <w:shd w:fill="FFFFFF"/>
          </w:tcPr>
          <w:p>
            <w:pPr>
              <w:spacing w:after="0"/>
            </w:pPr>
            <w:r>
              <w:rPr>
                <w:rFonts w:ascii="Calibri" w:hAnsi="Calibri"/>
                <w:color w:val="1F2937"/>
                <w:sz w:val="15"/>
              </w:rPr>
              <w:t>compose</w:t>
            </w:r>
          </w:p>
        </w:tc>
        <w:tc>
          <w:tcPr>
            <w:tcW w:type="dxa" w:w="2650"/>
            <w:shd w:fill="FFFFFF"/>
          </w:tcPr>
          <w:p>
            <w:pPr>
              <w:spacing w:after="0"/>
            </w:pPr>
            <w:r>
              <w:rPr>
                <w:rFonts w:ascii="Calibri" w:hAnsi="Calibri"/>
                <w:color w:val="1F2937"/>
                <w:sz w:val="15"/>
              </w:rPr>
              <w:t>recommendation.compose</w:t>
            </w:r>
          </w:p>
        </w:tc>
        <w:tc>
          <w:tcPr>
            <w:tcW w:type="dxa" w:w="3900"/>
            <w:shd w:fill="FFFFFF"/>
          </w:tcPr>
          <w:p>
            <w:pPr>
              <w:spacing w:after="0"/>
            </w:pPr>
            <w:r>
              <w:rPr>
                <w:rFonts w:ascii="Calibri" w:hAnsi="Calibri"/>
                <w:color w:val="1F2937"/>
                <w:sz w:val="15"/>
              </w:rPr>
              <w:t>Findings + strategy + explanation → draft.</w:t>
            </w:r>
          </w:p>
        </w:tc>
        <w:tc>
          <w:tcPr>
            <w:tcW w:type="dxa" w:w="1110"/>
            <w:shd w:fill="FFFFFF"/>
          </w:tcPr>
          <w:p>
            <w:pPr>
              <w:spacing w:after="0"/>
            </w:pPr>
            <w:r>
              <w:rPr>
                <w:rFonts w:ascii="Calibri" w:hAnsi="Calibri"/>
                <w:color w:val="1F2937"/>
                <w:sz w:val="15"/>
              </w:rPr>
              <w:t>No</w:t>
            </w:r>
          </w:p>
        </w:tc>
      </w:tr>
      <w:tr>
        <w:trPr>
          <w:cantSplit/>
        </w:trPr>
        <w:tc>
          <w:tcPr>
            <w:tcW w:type="dxa" w:w="1700"/>
            <w:shd w:fill="F4F7FA"/>
          </w:tcPr>
          <w:p>
            <w:pPr>
              <w:spacing w:after="0"/>
            </w:pPr>
            <w:r>
              <w:rPr>
                <w:rFonts w:ascii="Calibri" w:hAnsi="Calibri"/>
                <w:color w:val="1F2937"/>
                <w:sz w:val="15"/>
              </w:rPr>
              <w:t>validate</w:t>
            </w:r>
          </w:p>
        </w:tc>
        <w:tc>
          <w:tcPr>
            <w:tcW w:type="dxa" w:w="2650"/>
            <w:shd w:fill="F4F7FA"/>
          </w:tcPr>
          <w:p>
            <w:pPr>
              <w:spacing w:after="0"/>
            </w:pPr>
            <w:r>
              <w:rPr>
                <w:rFonts w:ascii="Calibri" w:hAnsi="Calibri"/>
                <w:color w:val="1F2937"/>
                <w:sz w:val="15"/>
              </w:rPr>
              <w:t>recommendation.validate</w:t>
            </w:r>
          </w:p>
        </w:tc>
        <w:tc>
          <w:tcPr>
            <w:tcW w:type="dxa" w:w="3900"/>
            <w:shd w:fill="F4F7FA"/>
          </w:tcPr>
          <w:p>
            <w:pPr>
              <w:spacing w:after="0"/>
            </w:pPr>
            <w:r>
              <w:rPr>
                <w:rFonts w:ascii="Calibri" w:hAnsi="Calibri"/>
                <w:color w:val="1F2937"/>
                <w:sz w:val="15"/>
              </w:rPr>
              <w:t>Draft + evidence → valid/invalid/limited.</w:t>
            </w:r>
          </w:p>
        </w:tc>
        <w:tc>
          <w:tcPr>
            <w:tcW w:type="dxa" w:w="1110"/>
            <w:shd w:fill="F4F7FA"/>
          </w:tcPr>
          <w:p>
            <w:pPr>
              <w:spacing w:after="0"/>
            </w:pPr>
            <w:r>
              <w:rPr>
                <w:rFonts w:ascii="Calibri" w:hAnsi="Calibri"/>
                <w:color w:val="1F2937"/>
                <w:sz w:val="15"/>
              </w:rPr>
              <w:t>No</w:t>
            </w:r>
          </w:p>
        </w:tc>
      </w:tr>
      <w:tr>
        <w:trPr>
          <w:cantSplit/>
        </w:trPr>
        <w:tc>
          <w:tcPr>
            <w:tcW w:type="dxa" w:w="1700"/>
            <w:shd w:fill="FFFFFF"/>
          </w:tcPr>
          <w:p>
            <w:pPr>
              <w:spacing w:after="0"/>
            </w:pPr>
            <w:r>
              <w:rPr>
                <w:rFonts w:ascii="Calibri" w:hAnsi="Calibri"/>
                <w:color w:val="1F2937"/>
                <w:sz w:val="15"/>
              </w:rPr>
              <w:t>save</w:t>
            </w:r>
          </w:p>
        </w:tc>
        <w:tc>
          <w:tcPr>
            <w:tcW w:type="dxa" w:w="2650"/>
            <w:shd w:fill="FFFFFF"/>
          </w:tcPr>
          <w:p>
            <w:pPr>
              <w:spacing w:after="0"/>
            </w:pPr>
            <w:r>
              <w:rPr>
                <w:rFonts w:ascii="Calibri" w:hAnsi="Calibri"/>
                <w:color w:val="1F2937"/>
                <w:sz w:val="15"/>
              </w:rPr>
              <w:t>Agentic repository</w:t>
            </w:r>
          </w:p>
        </w:tc>
        <w:tc>
          <w:tcPr>
            <w:tcW w:type="dxa" w:w="3900"/>
            <w:shd w:fill="FFFFFF"/>
          </w:tcPr>
          <w:p>
            <w:pPr>
              <w:spacing w:after="0"/>
            </w:pPr>
            <w:r>
              <w:rPr>
                <w:rFonts w:ascii="Calibri" w:hAnsi="Calibri"/>
                <w:color w:val="1F2937"/>
                <w:sz w:val="15"/>
              </w:rPr>
              <w:t>Validated draft → recommendation + outbox.</w:t>
            </w:r>
          </w:p>
        </w:tc>
        <w:tc>
          <w:tcPr>
            <w:tcW w:type="dxa" w:w="1110"/>
            <w:shd w:fill="FFFFFF"/>
          </w:tcPr>
          <w:p>
            <w:pPr>
              <w:spacing w:after="0"/>
            </w:pPr>
            <w:r>
              <w:rPr>
                <w:rFonts w:ascii="Calibri" w:hAnsi="Calibri"/>
                <w:color w:val="1F2937"/>
                <w:sz w:val="15"/>
              </w:rPr>
              <w:t>No</w:t>
            </w:r>
          </w:p>
        </w:tc>
      </w:tr>
    </w:tbl>
    <w:p>
      <w:pPr>
        <w:spacing w:after="40"/>
      </w:pPr>
    </w:p>
    <w:p>
      <w:pPr>
        <w:pStyle w:val="Heading1"/>
      </w:pPr>
      <w:r>
        <w:rPr>
          <w:rFonts w:ascii="Calibri" w:hAnsi="Calibri"/>
          <w:color w:val="1F2937"/>
          <w:sz w:val="21"/>
        </w:rPr>
        <w:t>7. Tool contracts and processing rules</w:t>
      </w:r>
    </w:p>
    <w:p>
      <w:r>
        <w:rPr>
          <w:rFonts w:ascii="Calibri" w:hAnsi="Calibri"/>
          <w:color w:val="1F2937"/>
          <w:sz w:val="21"/>
        </w:rPr>
        <w:t>Every tool is registered in tool_definition and tool_version, enabled through agent_tool_binding, and assigned to a stage through workflow_tool_binding. The database stores the contract and handler_key; Python code remains the executable implementation. Each call creates tool_execution, authorization_decision and audit_event records.</w:t>
      </w:r>
    </w:p>
    <w:p>
      <w:pPr>
        <w:pStyle w:val="Heading2"/>
      </w:pPr>
      <w:r>
        <w:rPr>
          <w:rFonts w:ascii="Calibri" w:hAnsi="Calibri"/>
          <w:color w:val="1F2937"/>
          <w:sz w:val="21"/>
        </w:rPr>
        <w:t>7.1 Data-access tools</w:t>
      </w:r>
    </w:p>
    <w:tbl>
      <w:tblPr>
        <w:tblW w:type="dxa" w:w="9360"/>
        <w:jc w:val="left"/>
        <w:tblLayout w:type="fixed"/>
        <w:tblLook w:firstColumn="1" w:firstRow="1" w:lastColumn="0" w:lastRow="0" w:noHBand="0" w:noVBand="1" w:val="04A0"/>
        <w:tblInd w:w="120" w:type="dxa"/>
      </w:tblPr>
      <w:tblGrid>
        <w:gridCol w:w="2100"/>
        <w:gridCol w:w="3400"/>
        <w:gridCol w:w="2350"/>
        <w:gridCol w:w="1510"/>
      </w:tblGrid>
      <w:tr>
        <w:tc>
          <w:tcPr>
            <w:tcW w:type="dxa" w:w="21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Tool</w:t>
            </w:r>
          </w:p>
        </w:tc>
        <w:tc>
          <w:tcPr>
            <w:tcW w:type="dxa" w:w="34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What it does</w:t>
            </w:r>
          </w:p>
        </w:tc>
        <w:tc>
          <w:tcPr>
            <w:tcW w:type="dxa" w:w="235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Input</w:t>
            </w:r>
          </w:p>
        </w:tc>
        <w:tc>
          <w:tcPr>
            <w:tcW w:type="dxa" w:w="151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Output / validation</w:t>
            </w:r>
          </w:p>
        </w:tc>
      </w:tr>
      <w:tr>
        <w:trPr>
          <w:cantSplit/>
        </w:trPr>
        <w:tc>
          <w:tcPr>
            <w:tcW w:type="dxa" w:w="2100"/>
            <w:shd w:fill="FFFFFF"/>
          </w:tcPr>
          <w:p>
            <w:pPr>
              <w:spacing w:after="0"/>
            </w:pPr>
            <w:r>
              <w:rPr>
                <w:rFonts w:ascii="Calibri" w:hAnsi="Calibri"/>
                <w:color w:val="1F2937"/>
                <w:sz w:val="15"/>
              </w:rPr>
              <w:t>case.get_final_decision</w:t>
            </w:r>
          </w:p>
        </w:tc>
        <w:tc>
          <w:tcPr>
            <w:tcW w:type="dxa" w:w="3400"/>
            <w:shd w:fill="FFFFFF"/>
          </w:tcPr>
          <w:p>
            <w:pPr>
              <w:spacing w:after="0"/>
            </w:pPr>
            <w:r>
              <w:rPr>
                <w:rFonts w:ascii="Calibri" w:hAnsi="Calibri"/>
                <w:color w:val="1F2937"/>
                <w:sz w:val="15"/>
              </w:rPr>
              <w:t>Reads the final case decision and applies configured mapping.</w:t>
            </w:r>
          </w:p>
        </w:tc>
        <w:tc>
          <w:tcPr>
            <w:tcW w:type="dxa" w:w="2350"/>
            <w:shd w:fill="FFFFFF"/>
          </w:tcPr>
          <w:p>
            <w:pPr>
              <w:spacing w:after="0"/>
            </w:pPr>
            <w:r>
              <w:rPr>
                <w:rFonts w:ascii="Calibri" w:hAnsi="Calibri"/>
                <w:color w:val="1F2937"/>
                <w:sz w:val="15"/>
              </w:rPr>
              <w:t>institution_id, case_id</w:t>
            </w:r>
          </w:p>
        </w:tc>
        <w:tc>
          <w:tcPr>
            <w:tcW w:type="dxa" w:w="1510"/>
            <w:shd w:fill="FFFFFF"/>
          </w:tcPr>
          <w:p>
            <w:pPr>
              <w:spacing w:after="0"/>
            </w:pPr>
            <w:r>
              <w:rPr>
                <w:rFonts w:ascii="Calibri" w:hAnsi="Calibri"/>
                <w:color w:val="1F2937"/>
                <w:sz w:val="15"/>
              </w:rPr>
              <w:t>VerifiedCase; rejects non-final, changed or unmapped outcomes.</w:t>
            </w:r>
          </w:p>
        </w:tc>
      </w:tr>
      <w:tr>
        <w:trPr>
          <w:cantSplit/>
        </w:trPr>
        <w:tc>
          <w:tcPr>
            <w:tcW w:type="dxa" w:w="2100"/>
            <w:shd w:fill="F4F7FA"/>
          </w:tcPr>
          <w:p>
            <w:pPr>
              <w:spacing w:after="0"/>
            </w:pPr>
            <w:r>
              <w:rPr>
                <w:rFonts w:ascii="Calibri" w:hAnsi="Calibri"/>
                <w:color w:val="1F2937"/>
                <w:sz w:val="15"/>
              </w:rPr>
              <w:t>case.get_alerts</w:t>
            </w:r>
          </w:p>
        </w:tc>
        <w:tc>
          <w:tcPr>
            <w:tcW w:type="dxa" w:w="3400"/>
            <w:shd w:fill="F4F7FA"/>
          </w:tcPr>
          <w:p>
            <w:pPr>
              <w:spacing w:after="0"/>
            </w:pPr>
            <w:r>
              <w:rPr>
                <w:rFonts w:ascii="Calibri" w:hAnsi="Calibri"/>
                <w:color w:val="1F2937"/>
                <w:sz w:val="15"/>
              </w:rPr>
              <w:t>Links a case to alerts using source-aware identifiers.</w:t>
            </w:r>
          </w:p>
        </w:tc>
        <w:tc>
          <w:tcPr>
            <w:tcW w:type="dxa" w:w="2350"/>
            <w:shd w:fill="F4F7FA"/>
          </w:tcPr>
          <w:p>
            <w:pPr>
              <w:spacing w:after="0"/>
            </w:pPr>
            <w:r>
              <w:rPr>
                <w:rFonts w:ascii="Calibri" w:hAnsi="Calibri"/>
                <w:color w:val="1F2937"/>
                <w:sz w:val="15"/>
              </w:rPr>
              <w:t>institution_id, case_id</w:t>
            </w:r>
          </w:p>
        </w:tc>
        <w:tc>
          <w:tcPr>
            <w:tcW w:type="dxa" w:w="1510"/>
            <w:shd w:fill="F4F7FA"/>
          </w:tcPr>
          <w:p>
            <w:pPr>
              <w:spacing w:after="0"/>
            </w:pPr>
            <w:r>
              <w:rPr>
                <w:rFonts w:ascii="Calibri" w:hAnsi="Calibri"/>
                <w:color w:val="1F2937"/>
                <w:sz w:val="15"/>
              </w:rPr>
              <w:t>AlertRef[]; rejects cross-institution rows and missing source identity.</w:t>
            </w:r>
          </w:p>
        </w:tc>
      </w:tr>
      <w:tr>
        <w:trPr>
          <w:cantSplit/>
        </w:trPr>
        <w:tc>
          <w:tcPr>
            <w:tcW w:type="dxa" w:w="2100"/>
            <w:shd w:fill="FFFFFF"/>
          </w:tcPr>
          <w:p>
            <w:pPr>
              <w:spacing w:after="0"/>
            </w:pPr>
            <w:r>
              <w:rPr>
                <w:rFonts w:ascii="Calibri" w:hAnsi="Calibri"/>
                <w:color w:val="1F2937"/>
                <w:sz w:val="15"/>
              </w:rPr>
              <w:t>alert.get_rule_matches</w:t>
            </w:r>
          </w:p>
        </w:tc>
        <w:tc>
          <w:tcPr>
            <w:tcW w:type="dxa" w:w="3400"/>
            <w:shd w:fill="FFFFFF"/>
          </w:tcPr>
          <w:p>
            <w:pPr>
              <w:spacing w:after="0"/>
            </w:pPr>
            <w:r>
              <w:rPr>
                <w:rFonts w:ascii="Calibri" w:hAnsi="Calibri"/>
                <w:color w:val="1F2937"/>
                <w:sz w:val="15"/>
              </w:rPr>
              <w:t>Follows alert → result → match; captures rule/version.</w:t>
            </w:r>
          </w:p>
        </w:tc>
        <w:tc>
          <w:tcPr>
            <w:tcW w:type="dxa" w:w="2350"/>
            <w:shd w:fill="FFFFFF"/>
          </w:tcPr>
          <w:p>
            <w:pPr>
              <w:spacing w:after="0"/>
            </w:pPr>
            <w:r>
              <w:rPr>
                <w:rFonts w:ascii="Calibri" w:hAnsi="Calibri"/>
                <w:color w:val="1F2937"/>
                <w:sz w:val="15"/>
              </w:rPr>
              <w:t>AlertRef[]</w:t>
            </w:r>
          </w:p>
        </w:tc>
        <w:tc>
          <w:tcPr>
            <w:tcW w:type="dxa" w:w="1510"/>
            <w:shd w:fill="FFFFFF"/>
          </w:tcPr>
          <w:p>
            <w:pPr>
              <w:spacing w:after="0"/>
            </w:pPr>
            <w:r>
              <w:rPr>
                <w:rFonts w:ascii="Calibri" w:hAnsi="Calibri"/>
                <w:color w:val="1F2937"/>
                <w:sz w:val="15"/>
              </w:rPr>
              <w:t>Lineage rows; marks partial/ambiguous/deleted history.</w:t>
            </w:r>
          </w:p>
        </w:tc>
      </w:tr>
      <w:tr>
        <w:trPr>
          <w:cantSplit/>
        </w:trPr>
        <w:tc>
          <w:tcPr>
            <w:tcW w:type="dxa" w:w="2100"/>
            <w:shd w:fill="F4F7FA"/>
          </w:tcPr>
          <w:p>
            <w:pPr>
              <w:spacing w:after="0"/>
            </w:pPr>
            <w:r>
              <w:rPr>
                <w:rFonts w:ascii="Calibri" w:hAnsi="Calibri"/>
                <w:color w:val="1F2937"/>
                <w:sz w:val="15"/>
              </w:rPr>
              <w:t>rule.get_configuration_bundle</w:t>
            </w:r>
          </w:p>
        </w:tc>
        <w:tc>
          <w:tcPr>
            <w:tcW w:type="dxa" w:w="3400"/>
            <w:shd w:fill="F4F7FA"/>
          </w:tcPr>
          <w:p>
            <w:pPr>
              <w:spacing w:after="0"/>
            </w:pPr>
            <w:r>
              <w:rPr>
                <w:rFonts w:ascii="Calibri" w:hAnsi="Calibri"/>
                <w:color w:val="1F2937"/>
                <w:sz w:val="15"/>
              </w:rPr>
              <w:t>Resolves historical/current rule, group and metric context.</w:t>
            </w:r>
          </w:p>
        </w:tc>
        <w:tc>
          <w:tcPr>
            <w:tcW w:type="dxa" w:w="2350"/>
            <w:shd w:fill="F4F7FA"/>
          </w:tcPr>
          <w:p>
            <w:pPr>
              <w:spacing w:after="0"/>
            </w:pPr>
            <w:r>
              <w:rPr>
                <w:rFonts w:ascii="Calibri" w:hAnsi="Calibri"/>
                <w:color w:val="1F2937"/>
                <w:sz w:val="15"/>
              </w:rPr>
              <w:t>Rule target, match time, fact type</w:t>
            </w:r>
          </w:p>
        </w:tc>
        <w:tc>
          <w:tcPr>
            <w:tcW w:type="dxa" w:w="1510"/>
            <w:shd w:fill="F4F7FA"/>
          </w:tcPr>
          <w:p>
            <w:pPr>
              <w:spacing w:after="0"/>
            </w:pPr>
            <w:r>
              <w:rPr>
                <w:rFonts w:ascii="Calibri" w:hAnsi="Calibri"/>
                <w:color w:val="1F2937"/>
                <w:sz w:val="15"/>
              </w:rPr>
              <w:t>ConfigurationBundle; never guesses a missing version.</w:t>
            </w:r>
          </w:p>
        </w:tc>
      </w:tr>
      <w:tr>
        <w:trPr>
          <w:cantSplit/>
        </w:trPr>
        <w:tc>
          <w:tcPr>
            <w:tcW w:type="dxa" w:w="2100"/>
            <w:shd w:fill="FFFFFF"/>
          </w:tcPr>
          <w:p>
            <w:pPr>
              <w:spacing w:after="0"/>
            </w:pPr>
            <w:r>
              <w:rPr>
                <w:rFonts w:ascii="Calibri" w:hAnsi="Calibri"/>
                <w:color w:val="1F2937"/>
                <w:sz w:val="15"/>
              </w:rPr>
              <w:t>optimizer.plan_snapshot</w:t>
            </w:r>
          </w:p>
        </w:tc>
        <w:tc>
          <w:tcPr>
            <w:tcW w:type="dxa" w:w="3400"/>
            <w:shd w:fill="FFFFFF"/>
          </w:tcPr>
          <w:p>
            <w:pPr>
              <w:spacing w:after="0"/>
            </w:pPr>
            <w:r>
              <w:rPr>
                <w:rFonts w:ascii="Calibri" w:hAnsi="Calibri"/>
                <w:color w:val="1F2937"/>
                <w:sz w:val="15"/>
              </w:rPr>
              <w:t>Defines windows, cohorts, fields and partitions.</w:t>
            </w:r>
          </w:p>
        </w:tc>
        <w:tc>
          <w:tcPr>
            <w:tcW w:type="dxa" w:w="2350"/>
            <w:shd w:fill="FFFFFF"/>
          </w:tcPr>
          <w:p>
            <w:pPr>
              <w:spacing w:after="0"/>
            </w:pPr>
            <w:r>
              <w:rPr>
                <w:rFonts w:ascii="Calibri" w:hAnsi="Calibri"/>
                <w:color w:val="1F2937"/>
                <w:sz w:val="15"/>
              </w:rPr>
              <w:t>Rule target, policy, cutoff</w:t>
            </w:r>
          </w:p>
        </w:tc>
        <w:tc>
          <w:tcPr>
            <w:tcW w:type="dxa" w:w="1510"/>
            <w:shd w:fill="FFFFFF"/>
          </w:tcPr>
          <w:p>
            <w:pPr>
              <w:spacing w:after="0"/>
            </w:pPr>
            <w:r>
              <w:rPr>
                <w:rFonts w:ascii="Calibri" w:hAnsi="Calibri"/>
                <w:color w:val="1F2937"/>
                <w:sz w:val="15"/>
              </w:rPr>
              <w:t>SnapshotPlan with row estimate and query hashes.</w:t>
            </w:r>
          </w:p>
        </w:tc>
      </w:tr>
      <w:tr>
        <w:trPr>
          <w:cantSplit/>
        </w:trPr>
        <w:tc>
          <w:tcPr>
            <w:tcW w:type="dxa" w:w="2100"/>
            <w:shd w:fill="F4F7FA"/>
          </w:tcPr>
          <w:p>
            <w:pPr>
              <w:spacing w:after="0"/>
            </w:pPr>
            <w:r>
              <w:rPr>
                <w:rFonts w:ascii="Calibri" w:hAnsi="Calibri"/>
                <w:color w:val="1F2937"/>
                <w:sz w:val="15"/>
              </w:rPr>
              <w:t>optimizer.build_snapshot</w:t>
            </w:r>
          </w:p>
        </w:tc>
        <w:tc>
          <w:tcPr>
            <w:tcW w:type="dxa" w:w="3400"/>
            <w:shd w:fill="F4F7FA"/>
          </w:tcPr>
          <w:p>
            <w:pPr>
              <w:spacing w:after="0"/>
            </w:pPr>
            <w:r>
              <w:rPr>
                <w:rFonts w:ascii="Calibri" w:hAnsi="Calibri"/>
                <w:color w:val="1F2937"/>
                <w:sz w:val="15"/>
              </w:rPr>
              <w:t>Executes approved SQL in pages/partitions and writes Parquet metadata.</w:t>
            </w:r>
          </w:p>
        </w:tc>
        <w:tc>
          <w:tcPr>
            <w:tcW w:type="dxa" w:w="2350"/>
            <w:shd w:fill="F4F7FA"/>
          </w:tcPr>
          <w:p>
            <w:pPr>
              <w:spacing w:after="0"/>
            </w:pPr>
            <w:r>
              <w:rPr>
                <w:rFonts w:ascii="Calibri" w:hAnsi="Calibri"/>
                <w:color w:val="1F2937"/>
                <w:sz w:val="15"/>
              </w:rPr>
              <w:t>SnapshotPlan</w:t>
            </w:r>
          </w:p>
        </w:tc>
        <w:tc>
          <w:tcPr>
            <w:tcW w:type="dxa" w:w="1510"/>
            <w:shd w:fill="F4F7FA"/>
          </w:tcPr>
          <w:p>
            <w:pPr>
              <w:spacing w:after="0"/>
            </w:pPr>
            <w:r>
              <w:rPr>
                <w:rFonts w:ascii="Calibri" w:hAnsi="Calibri"/>
                <w:color w:val="1F2937"/>
                <w:sz w:val="15"/>
              </w:rPr>
              <w:t>Manifest, artifact parts, counts and hashes.</w:t>
            </w:r>
          </w:p>
        </w:tc>
      </w:tr>
    </w:tbl>
    <w:p>
      <w:pPr>
        <w:spacing w:after="40"/>
      </w:pPr>
    </w:p>
    <w:p>
      <w:pPr>
        <w:pStyle w:val="Heading2"/>
      </w:pPr>
      <w:r>
        <w:rPr>
          <w:rFonts w:ascii="Calibri" w:hAnsi="Calibri"/>
          <w:color w:val="1F2937"/>
          <w:sz w:val="21"/>
        </w:rPr>
        <w:t>7.2 Analytics and output tools</w:t>
      </w:r>
    </w:p>
    <w:tbl>
      <w:tblPr>
        <w:tblW w:type="dxa" w:w="9360"/>
        <w:jc w:val="left"/>
        <w:tblLayout w:type="fixed"/>
        <w:tblLook w:firstColumn="1" w:firstRow="1" w:lastColumn="0" w:lastRow="0" w:noHBand="0" w:noVBand="1" w:val="04A0"/>
        <w:tblInd w:w="120" w:type="dxa"/>
      </w:tblPr>
      <w:tblGrid>
        <w:gridCol w:w="2300"/>
        <w:gridCol w:w="3500"/>
        <w:gridCol w:w="2300"/>
        <w:gridCol w:w="1260"/>
      </w:tblGrid>
      <w:tr>
        <w:tc>
          <w:tcPr>
            <w:tcW w:type="dxa" w:w="23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Tool</w:t>
            </w:r>
          </w:p>
        </w:tc>
        <w:tc>
          <w:tcPr>
            <w:tcW w:type="dxa" w:w="35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What it does</w:t>
            </w:r>
          </w:p>
        </w:tc>
        <w:tc>
          <w:tcPr>
            <w:tcW w:type="dxa" w:w="23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Input → output</w:t>
            </w:r>
          </w:p>
        </w:tc>
        <w:tc>
          <w:tcPr>
            <w:tcW w:type="dxa" w:w="12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Technique</w:t>
            </w:r>
          </w:p>
        </w:tc>
      </w:tr>
      <w:tr>
        <w:trPr>
          <w:cantSplit/>
        </w:trPr>
        <w:tc>
          <w:tcPr>
            <w:tcW w:type="dxa" w:w="2300"/>
            <w:shd w:fill="FFFFFF"/>
          </w:tcPr>
          <w:p>
            <w:pPr>
              <w:spacing w:after="0"/>
            </w:pPr>
            <w:r>
              <w:rPr>
                <w:rFonts w:ascii="Calibri" w:hAnsi="Calibri"/>
                <w:color w:val="1F2937"/>
                <w:sz w:val="15"/>
              </w:rPr>
              <w:t>snapshot.validate</w:t>
            </w:r>
          </w:p>
        </w:tc>
        <w:tc>
          <w:tcPr>
            <w:tcW w:type="dxa" w:w="3500"/>
            <w:shd w:fill="FFFFFF"/>
          </w:tcPr>
          <w:p>
            <w:pPr>
              <w:spacing w:after="0"/>
            </w:pPr>
            <w:r>
              <w:rPr>
                <w:rFonts w:ascii="Calibri" w:hAnsi="Calibri"/>
                <w:color w:val="1F2937"/>
                <w:sz w:val="15"/>
              </w:rPr>
              <w:t>Checks readiness, lineage, sample size and reproducibility.</w:t>
            </w:r>
          </w:p>
        </w:tc>
        <w:tc>
          <w:tcPr>
            <w:tcW w:type="dxa" w:w="2300"/>
            <w:shd w:fill="FFFFFF"/>
          </w:tcPr>
          <w:p>
            <w:pPr>
              <w:spacing w:after="0"/>
            </w:pPr>
            <w:r>
              <w:rPr>
                <w:rFonts w:ascii="Calibri" w:hAnsi="Calibri"/>
                <w:color w:val="1F2937"/>
                <w:sz w:val="15"/>
              </w:rPr>
              <w:t>Snapshot → gates/limitations</w:t>
            </w:r>
          </w:p>
        </w:tc>
        <w:tc>
          <w:tcPr>
            <w:tcW w:type="dxa" w:w="1260"/>
            <w:shd w:fill="FFFFFF"/>
          </w:tcPr>
          <w:p>
            <w:pPr>
              <w:spacing w:after="0"/>
            </w:pPr>
            <w:r>
              <w:rPr>
                <w:rFonts w:ascii="Calibri" w:hAnsi="Calibri"/>
                <w:color w:val="1F2937"/>
                <w:sz w:val="15"/>
              </w:rPr>
              <w:t>Deterministic Python/SQL</w:t>
            </w:r>
          </w:p>
        </w:tc>
      </w:tr>
      <w:tr>
        <w:trPr>
          <w:cantSplit/>
        </w:trPr>
        <w:tc>
          <w:tcPr>
            <w:tcW w:type="dxa" w:w="2300"/>
            <w:shd w:fill="F4F7FA"/>
          </w:tcPr>
          <w:p>
            <w:pPr>
              <w:spacing w:after="0"/>
            </w:pPr>
            <w:r>
              <w:rPr>
                <w:rFonts w:ascii="Calibri" w:hAnsi="Calibri"/>
                <w:color w:val="1F2937"/>
                <w:sz w:val="15"/>
              </w:rPr>
              <w:t>analytics.calculate_rule_health</w:t>
            </w:r>
          </w:p>
        </w:tc>
        <w:tc>
          <w:tcPr>
            <w:tcW w:type="dxa" w:w="3500"/>
            <w:shd w:fill="F4F7FA"/>
          </w:tcPr>
          <w:p>
            <w:pPr>
              <w:spacing w:after="0"/>
            </w:pPr>
            <w:r>
              <w:rPr>
                <w:rFonts w:ascii="Calibri" w:hAnsi="Calibri"/>
                <w:color w:val="1F2937"/>
                <w:sz w:val="15"/>
              </w:rPr>
              <w:t>Computes volume, false-positive rate, yield, conversion and stability.</w:t>
            </w:r>
          </w:p>
        </w:tc>
        <w:tc>
          <w:tcPr>
            <w:tcW w:type="dxa" w:w="2300"/>
            <w:shd w:fill="F4F7FA"/>
          </w:tcPr>
          <w:p>
            <w:pPr>
              <w:spacing w:after="0"/>
            </w:pPr>
            <w:r>
              <w:rPr>
                <w:rFonts w:ascii="Calibri" w:hAnsi="Calibri"/>
                <w:color w:val="1F2937"/>
                <w:sz w:val="15"/>
              </w:rPr>
              <w:t>Snapshot → metrics</w:t>
            </w:r>
          </w:p>
        </w:tc>
        <w:tc>
          <w:tcPr>
            <w:tcW w:type="dxa" w:w="1260"/>
            <w:shd w:fill="F4F7FA"/>
          </w:tcPr>
          <w:p>
            <w:pPr>
              <w:spacing w:after="0"/>
            </w:pPr>
            <w:r>
              <w:rPr>
                <w:rFonts w:ascii="Calibri" w:hAnsi="Calibri"/>
                <w:color w:val="1F2937"/>
                <w:sz w:val="15"/>
              </w:rPr>
              <w:t>SQL aggregates + Python statistics</w:t>
            </w:r>
          </w:p>
        </w:tc>
      </w:tr>
      <w:tr>
        <w:trPr>
          <w:cantSplit/>
        </w:trPr>
        <w:tc>
          <w:tcPr>
            <w:tcW w:type="dxa" w:w="2300"/>
            <w:shd w:fill="FFFFFF"/>
          </w:tcPr>
          <w:p>
            <w:pPr>
              <w:spacing w:after="0"/>
            </w:pPr>
            <w:r>
              <w:rPr>
                <w:rFonts w:ascii="Calibri" w:hAnsi="Calibri"/>
                <w:color w:val="1F2937"/>
                <w:sz w:val="15"/>
              </w:rPr>
              <w:t>analytics.detect_rule_decay</w:t>
            </w:r>
          </w:p>
        </w:tc>
        <w:tc>
          <w:tcPr>
            <w:tcW w:type="dxa" w:w="3500"/>
            <w:shd w:fill="FFFFFF"/>
          </w:tcPr>
          <w:p>
            <w:pPr>
              <w:spacing w:after="0"/>
            </w:pPr>
            <w:r>
              <w:rPr>
                <w:rFonts w:ascii="Calibri" w:hAnsi="Calibri"/>
                <w:color w:val="1F2937"/>
                <w:sz w:val="15"/>
              </w:rPr>
              <w:t>Compares baseline/recent periods with persistence gates.</w:t>
            </w:r>
          </w:p>
        </w:tc>
        <w:tc>
          <w:tcPr>
            <w:tcW w:type="dxa" w:w="2300"/>
            <w:shd w:fill="FFFFFF"/>
          </w:tcPr>
          <w:p>
            <w:pPr>
              <w:spacing w:after="0"/>
            </w:pPr>
            <w:r>
              <w:rPr>
                <w:rFonts w:ascii="Calibri" w:hAnsi="Calibri"/>
                <w:color w:val="1F2937"/>
                <w:sz w:val="15"/>
              </w:rPr>
              <w:t>Metrics → decay status</w:t>
            </w:r>
          </w:p>
        </w:tc>
        <w:tc>
          <w:tcPr>
            <w:tcW w:type="dxa" w:w="1260"/>
            <w:shd w:fill="FFFFFF"/>
          </w:tcPr>
          <w:p>
            <w:pPr>
              <w:spacing w:after="0"/>
            </w:pPr>
            <w:r>
              <w:rPr>
                <w:rFonts w:ascii="Calibri" w:hAnsi="Calibri"/>
                <w:color w:val="1F2937"/>
                <w:sz w:val="15"/>
              </w:rPr>
              <w:t>Deltas, intervals, control/change rules</w:t>
            </w:r>
          </w:p>
        </w:tc>
      </w:tr>
      <w:tr>
        <w:trPr>
          <w:cantSplit/>
        </w:trPr>
        <w:tc>
          <w:tcPr>
            <w:tcW w:type="dxa" w:w="2300"/>
            <w:shd w:fill="F4F7FA"/>
          </w:tcPr>
          <w:p>
            <w:pPr>
              <w:spacing w:after="0"/>
            </w:pPr>
            <w:r>
              <w:rPr>
                <w:rFonts w:ascii="Calibri" w:hAnsi="Calibri"/>
                <w:color w:val="1F2937"/>
                <w:sz w:val="15"/>
              </w:rPr>
              <w:t>analytics.analyse_threshold</w:t>
            </w:r>
          </w:p>
        </w:tc>
        <w:tc>
          <w:tcPr>
            <w:tcW w:type="dxa" w:w="3500"/>
            <w:shd w:fill="F4F7FA"/>
          </w:tcPr>
          <w:p>
            <w:pPr>
              <w:spacing w:after="0"/>
            </w:pPr>
            <w:r>
              <w:rPr>
                <w:rFonts w:ascii="Calibri" w:hAnsi="Calibri"/>
                <w:color w:val="1F2937"/>
                <w:sz w:val="15"/>
              </w:rPr>
              <w:t>Studies outcomes and volume around threshold alternatives.</w:t>
            </w:r>
          </w:p>
        </w:tc>
        <w:tc>
          <w:tcPr>
            <w:tcW w:type="dxa" w:w="2300"/>
            <w:shd w:fill="F4F7FA"/>
          </w:tcPr>
          <w:p>
            <w:pPr>
              <w:spacing w:after="0"/>
            </w:pPr>
            <w:r>
              <w:rPr>
                <w:rFonts w:ascii="Calibri" w:hAnsi="Calibri"/>
                <w:color w:val="1F2937"/>
                <w:sz w:val="15"/>
              </w:rPr>
              <w:t>Snapshot + config → finding</w:t>
            </w:r>
          </w:p>
        </w:tc>
        <w:tc>
          <w:tcPr>
            <w:tcW w:type="dxa" w:w="1260"/>
            <w:shd w:fill="F4F7FA"/>
          </w:tcPr>
          <w:p>
            <w:pPr>
              <w:spacing w:after="0"/>
            </w:pPr>
            <w:r>
              <w:rPr>
                <w:rFonts w:ascii="Calibri" w:hAnsi="Calibri"/>
                <w:color w:val="1F2937"/>
                <w:sz w:val="15"/>
              </w:rPr>
              <w:t>Sensitivity bands and capacity checks</w:t>
            </w:r>
          </w:p>
        </w:tc>
      </w:tr>
      <w:tr>
        <w:trPr>
          <w:cantSplit/>
        </w:trPr>
        <w:tc>
          <w:tcPr>
            <w:tcW w:type="dxa" w:w="2300"/>
            <w:shd w:fill="FFFFFF"/>
          </w:tcPr>
          <w:p>
            <w:pPr>
              <w:spacing w:after="0"/>
            </w:pPr>
            <w:r>
              <w:rPr>
                <w:rFonts w:ascii="Calibri" w:hAnsi="Calibri"/>
                <w:color w:val="1F2937"/>
                <w:sz w:val="15"/>
              </w:rPr>
              <w:t>analytics.analyse_overlap_and_leakage</w:t>
            </w:r>
          </w:p>
        </w:tc>
        <w:tc>
          <w:tcPr>
            <w:tcW w:type="dxa" w:w="3500"/>
            <w:shd w:fill="FFFFFF"/>
          </w:tcPr>
          <w:p>
            <w:pPr>
              <w:spacing w:after="0"/>
            </w:pPr>
            <w:r>
              <w:rPr>
                <w:rFonts w:ascii="Calibri" w:hAnsi="Calibri"/>
                <w:color w:val="1F2937"/>
                <w:sz w:val="15"/>
              </w:rPr>
              <w:t>Finds duplicate signals and supported gaps without unsupported fraud claims.</w:t>
            </w:r>
          </w:p>
        </w:tc>
        <w:tc>
          <w:tcPr>
            <w:tcW w:type="dxa" w:w="2300"/>
            <w:shd w:fill="FFFFFF"/>
          </w:tcPr>
          <w:p>
            <w:pPr>
              <w:spacing w:after="0"/>
            </w:pPr>
            <w:r>
              <w:rPr>
                <w:rFonts w:ascii="Calibri" w:hAnsi="Calibri"/>
                <w:color w:val="1F2937"/>
                <w:sz w:val="15"/>
              </w:rPr>
              <w:t>Lineage + snapshot → finding</w:t>
            </w:r>
          </w:p>
        </w:tc>
        <w:tc>
          <w:tcPr>
            <w:tcW w:type="dxa" w:w="1260"/>
            <w:shd w:fill="FFFFFF"/>
          </w:tcPr>
          <w:p>
            <w:pPr>
              <w:spacing w:after="0"/>
            </w:pPr>
            <w:r>
              <w:rPr>
                <w:rFonts w:ascii="Calibri" w:hAnsi="Calibri"/>
                <w:color w:val="1F2937"/>
                <w:sz w:val="15"/>
              </w:rPr>
              <w:t>Set overlap and observed-outcome analysis</w:t>
            </w:r>
          </w:p>
        </w:tc>
      </w:tr>
      <w:tr>
        <w:trPr>
          <w:cantSplit/>
        </w:trPr>
        <w:tc>
          <w:tcPr>
            <w:tcW w:type="dxa" w:w="2300"/>
            <w:shd w:fill="F4F7FA"/>
          </w:tcPr>
          <w:p>
            <w:pPr>
              <w:spacing w:after="0"/>
            </w:pPr>
            <w:r>
              <w:rPr>
                <w:rFonts w:ascii="Calibri" w:hAnsi="Calibri"/>
                <w:color w:val="1F2937"/>
                <w:sz w:val="15"/>
              </w:rPr>
              <w:t>strategy.build</w:t>
            </w:r>
          </w:p>
        </w:tc>
        <w:tc>
          <w:tcPr>
            <w:tcW w:type="dxa" w:w="3500"/>
            <w:shd w:fill="F4F7FA"/>
          </w:tcPr>
          <w:p>
            <w:pPr>
              <w:spacing w:after="0"/>
            </w:pPr>
            <w:r>
              <w:rPr>
                <w:rFonts w:ascii="Calibri" w:hAnsi="Calibri"/>
                <w:color w:val="1F2937"/>
                <w:sz w:val="15"/>
              </w:rPr>
              <w:t>Selects allowed review directions from policy/evidence.</w:t>
            </w:r>
          </w:p>
        </w:tc>
        <w:tc>
          <w:tcPr>
            <w:tcW w:type="dxa" w:w="2300"/>
            <w:shd w:fill="F4F7FA"/>
          </w:tcPr>
          <w:p>
            <w:pPr>
              <w:spacing w:after="0"/>
            </w:pPr>
            <w:r>
              <w:rPr>
                <w:rFonts w:ascii="Calibri" w:hAnsi="Calibri"/>
                <w:color w:val="1F2937"/>
                <w:sz w:val="15"/>
              </w:rPr>
              <w:t>Findings → strategy</w:t>
            </w:r>
          </w:p>
        </w:tc>
        <w:tc>
          <w:tcPr>
            <w:tcW w:type="dxa" w:w="1260"/>
            <w:shd w:fill="F4F7FA"/>
          </w:tcPr>
          <w:p>
            <w:pPr>
              <w:spacing w:after="0"/>
            </w:pPr>
            <w:r>
              <w:rPr>
                <w:rFonts w:ascii="Calibri" w:hAnsi="Calibri"/>
                <w:color w:val="1F2937"/>
                <w:sz w:val="15"/>
              </w:rPr>
              <w:t>Deterministic policy rules</w:t>
            </w:r>
          </w:p>
        </w:tc>
      </w:tr>
      <w:tr>
        <w:trPr>
          <w:cantSplit/>
        </w:trPr>
        <w:tc>
          <w:tcPr>
            <w:tcW w:type="dxa" w:w="2300"/>
            <w:shd w:fill="FFFFFF"/>
          </w:tcPr>
          <w:p>
            <w:pPr>
              <w:spacing w:after="0"/>
            </w:pPr>
            <w:r>
              <w:rPr>
                <w:rFonts w:ascii="Calibri" w:hAnsi="Calibri"/>
                <w:color w:val="1F2937"/>
                <w:sz w:val="15"/>
              </w:rPr>
              <w:t>recommendation.compose</w:t>
            </w:r>
          </w:p>
        </w:tc>
        <w:tc>
          <w:tcPr>
            <w:tcW w:type="dxa" w:w="3500"/>
            <w:shd w:fill="FFFFFF"/>
          </w:tcPr>
          <w:p>
            <w:pPr>
              <w:spacing w:after="0"/>
            </w:pPr>
            <w:r>
              <w:rPr>
                <w:rFonts w:ascii="Calibri" w:hAnsi="Calibri"/>
                <w:color w:val="1F2937"/>
                <w:sz w:val="15"/>
              </w:rPr>
              <w:t>Builds canonical JSON and readable summary.</w:t>
            </w:r>
          </w:p>
        </w:tc>
        <w:tc>
          <w:tcPr>
            <w:tcW w:type="dxa" w:w="2300"/>
            <w:shd w:fill="FFFFFF"/>
          </w:tcPr>
          <w:p>
            <w:pPr>
              <w:spacing w:after="0"/>
            </w:pPr>
            <w:r>
              <w:rPr>
                <w:rFonts w:ascii="Calibri" w:hAnsi="Calibri"/>
                <w:color w:val="1F2937"/>
                <w:sz w:val="15"/>
              </w:rPr>
              <w:t>Strategy + evidence → draft</w:t>
            </w:r>
          </w:p>
        </w:tc>
        <w:tc>
          <w:tcPr>
            <w:tcW w:type="dxa" w:w="1260"/>
            <w:shd w:fill="FFFFFF"/>
          </w:tcPr>
          <w:p>
            <w:pPr>
              <w:spacing w:after="0"/>
            </w:pPr>
            <w:r>
              <w:rPr>
                <w:rFonts w:ascii="Calibri" w:hAnsi="Calibri"/>
                <w:color w:val="1F2937"/>
                <w:sz w:val="15"/>
              </w:rPr>
              <w:t>Python schema composition</w:t>
            </w:r>
          </w:p>
        </w:tc>
      </w:tr>
      <w:tr>
        <w:trPr>
          <w:cantSplit/>
        </w:trPr>
        <w:tc>
          <w:tcPr>
            <w:tcW w:type="dxa" w:w="2300"/>
            <w:shd w:fill="F4F7FA"/>
          </w:tcPr>
          <w:p>
            <w:pPr>
              <w:spacing w:after="0"/>
            </w:pPr>
            <w:r>
              <w:rPr>
                <w:rFonts w:ascii="Calibri" w:hAnsi="Calibri"/>
                <w:color w:val="1F2937"/>
                <w:sz w:val="15"/>
              </w:rPr>
              <w:t>recommendation.validate</w:t>
            </w:r>
          </w:p>
        </w:tc>
        <w:tc>
          <w:tcPr>
            <w:tcW w:type="dxa" w:w="3500"/>
            <w:shd w:fill="F4F7FA"/>
          </w:tcPr>
          <w:p>
            <w:pPr>
              <w:spacing w:after="0"/>
            </w:pPr>
            <w:r>
              <w:rPr>
                <w:rFonts w:ascii="Calibri" w:hAnsi="Calibri"/>
                <w:color w:val="1F2937"/>
                <w:sz w:val="15"/>
              </w:rPr>
              <w:t>Checks claims, hashes, freshness, permissions and prohibited actions.</w:t>
            </w:r>
          </w:p>
        </w:tc>
        <w:tc>
          <w:tcPr>
            <w:tcW w:type="dxa" w:w="2300"/>
            <w:shd w:fill="F4F7FA"/>
          </w:tcPr>
          <w:p>
            <w:pPr>
              <w:spacing w:after="0"/>
            </w:pPr>
            <w:r>
              <w:rPr>
                <w:rFonts w:ascii="Calibri" w:hAnsi="Calibri"/>
                <w:color w:val="1F2937"/>
                <w:sz w:val="15"/>
              </w:rPr>
              <w:t>Draft + evidence → result</w:t>
            </w:r>
          </w:p>
        </w:tc>
        <w:tc>
          <w:tcPr>
            <w:tcW w:type="dxa" w:w="1260"/>
            <w:shd w:fill="F4F7FA"/>
          </w:tcPr>
          <w:p>
            <w:pPr>
              <w:spacing w:after="0"/>
            </w:pPr>
            <w:r>
              <w:rPr>
                <w:rFonts w:ascii="Calibri" w:hAnsi="Calibri"/>
                <w:color w:val="1F2937"/>
                <w:sz w:val="15"/>
              </w:rPr>
              <w:t>Python validator</w:t>
            </w:r>
          </w:p>
        </w:tc>
      </w:tr>
      <w:tr>
        <w:trPr>
          <w:cantSplit/>
        </w:trPr>
        <w:tc>
          <w:tcPr>
            <w:tcW w:type="dxa" w:w="2300"/>
            <w:shd w:fill="FFFFFF"/>
          </w:tcPr>
          <w:p>
            <w:pPr>
              <w:spacing w:after="0"/>
            </w:pPr>
            <w:r>
              <w:rPr>
                <w:rFonts w:ascii="Calibri" w:hAnsi="Calibri"/>
                <w:color w:val="1F2937"/>
                <w:sz w:val="15"/>
              </w:rPr>
              <w:t>llm.generate_explanation</w:t>
            </w:r>
          </w:p>
        </w:tc>
        <w:tc>
          <w:tcPr>
            <w:tcW w:type="dxa" w:w="3500"/>
            <w:shd w:fill="FFFFFF"/>
          </w:tcPr>
          <w:p>
            <w:pPr>
              <w:spacing w:after="0"/>
            </w:pPr>
            <w:r>
              <w:rPr>
                <w:rFonts w:ascii="Calibri" w:hAnsi="Calibri"/>
                <w:color w:val="1F2937"/>
                <w:sz w:val="15"/>
              </w:rPr>
              <w:t>Explains validated facts in plain English.</w:t>
            </w:r>
          </w:p>
        </w:tc>
        <w:tc>
          <w:tcPr>
            <w:tcW w:type="dxa" w:w="2300"/>
            <w:shd w:fill="FFFFFF"/>
          </w:tcPr>
          <w:p>
            <w:pPr>
              <w:spacing w:after="0"/>
            </w:pPr>
            <w:r>
              <w:rPr>
                <w:rFonts w:ascii="Calibri" w:hAnsi="Calibri"/>
                <w:color w:val="1F2937"/>
                <w:sz w:val="15"/>
              </w:rPr>
              <w:t>Findings → explanation</w:t>
            </w:r>
          </w:p>
        </w:tc>
        <w:tc>
          <w:tcPr>
            <w:tcW w:type="dxa" w:w="1260"/>
            <w:shd w:fill="FFFFFF"/>
          </w:tcPr>
          <w:p>
            <w:pPr>
              <w:spacing w:after="0"/>
            </w:pPr>
            <w:r>
              <w:rPr>
                <w:rFonts w:ascii="Calibri" w:hAnsi="Calibri"/>
                <w:color w:val="1F2937"/>
                <w:sz w:val="15"/>
              </w:rPr>
              <w:t>Allow-listed local/API LLM</w:t>
            </w:r>
          </w:p>
        </w:tc>
      </w:tr>
    </w:tbl>
    <w:p>
      <w:pPr>
        <w:spacing w:after="40"/>
      </w:pPr>
    </w:p>
    <w:p>
      <w:pPr>
        <w:pStyle w:val="Heading1"/>
      </w:pPr>
      <w:r>
        <w:rPr>
          <w:rFonts w:ascii="Calibri" w:hAnsi="Calibri"/>
          <w:color w:val="1F2937"/>
          <w:sz w:val="21"/>
        </w:rPr>
        <w:t>8. Snapshot and analytics design</w:t>
      </w:r>
    </w:p>
    <w:p>
      <w:pPr>
        <w:pStyle w:val="Heading2"/>
      </w:pPr>
      <w:r>
        <w:rPr>
          <w:rFonts w:ascii="Calibri" w:hAnsi="Calibri"/>
          <w:color w:val="1F2937"/>
          <w:sz w:val="21"/>
        </w:rPr>
        <w:t>8.1 What “eligible transactions” means</w:t>
      </w:r>
    </w:p>
    <w:p>
      <w:r>
        <w:rPr>
          <w:rFonts w:ascii="Calibri" w:hAnsi="Calibri"/>
          <w:color w:val="1F2937"/>
          <w:sz w:val="21"/>
        </w:rPr>
        <w:t>The builder does not copy every transaction in the EFRM database for every run. It creates a bounded population defined by the rule, institution, channel/fact scope, historical windows and available lineage. The preferred pattern is database aggregation and partitioned extraction, not one giant application-memory result.</w:t>
      </w:r>
    </w:p>
    <w:tbl>
      <w:tblPr>
        <w:tblW w:type="dxa" w:w="9360"/>
        <w:jc w:val="left"/>
        <w:tblLayout w:type="fixed"/>
        <w:tblLook w:firstColumn="1" w:firstRow="1" w:lastColumn="0" w:lastRow="0" w:noHBand="0" w:noVBand="1" w:val="04A0"/>
        <w:tblInd w:w="120" w:type="dxa"/>
      </w:tblPr>
      <w:tblGrid>
        <w:gridCol w:w="2200"/>
        <w:gridCol w:w="4300"/>
        <w:gridCol w:w="2860"/>
      </w:tblGrid>
      <w:tr>
        <w:tc>
          <w:tcPr>
            <w:tcW w:type="dxa" w:w="22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Population</w:t>
            </w:r>
          </w:p>
        </w:tc>
        <w:tc>
          <w:tcPr>
            <w:tcW w:type="dxa" w:w="43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Purpose</w:t>
            </w:r>
          </w:p>
        </w:tc>
        <w:tc>
          <w:tcPr>
            <w:tcW w:type="dxa" w:w="28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Required controls</w:t>
            </w:r>
          </w:p>
        </w:tc>
      </w:tr>
      <w:tr>
        <w:trPr>
          <w:cantSplit/>
        </w:trPr>
        <w:tc>
          <w:tcPr>
            <w:tcW w:type="dxa" w:w="2200"/>
            <w:shd w:fill="FFFFFF"/>
          </w:tcPr>
          <w:p>
            <w:pPr>
              <w:spacing w:after="0"/>
            </w:pPr>
            <w:r>
              <w:rPr>
                <w:rFonts w:ascii="Calibri" w:hAnsi="Calibri"/>
                <w:color w:val="1F2937"/>
                <w:sz w:val="16"/>
              </w:rPr>
              <w:t>Rule-evaluated population</w:t>
            </w:r>
          </w:p>
        </w:tc>
        <w:tc>
          <w:tcPr>
            <w:tcW w:type="dxa" w:w="4300"/>
            <w:shd w:fill="FFFFFF"/>
          </w:tcPr>
          <w:p>
            <w:pPr>
              <w:spacing w:after="0"/>
            </w:pPr>
            <w:r>
              <w:rPr>
                <w:rFonts w:ascii="Calibri" w:hAnsi="Calibri"/>
                <w:color w:val="1F2937"/>
                <w:sz w:val="16"/>
              </w:rPr>
              <w:t>Transactions/results where the selected rule was evaluated or matched.</w:t>
            </w:r>
          </w:p>
        </w:tc>
        <w:tc>
          <w:tcPr>
            <w:tcW w:type="dxa" w:w="2860"/>
            <w:shd w:fill="FFFFFF"/>
          </w:tcPr>
          <w:p>
            <w:pPr>
              <w:spacing w:after="0"/>
            </w:pPr>
            <w:r>
              <w:rPr>
                <w:rFonts w:ascii="Calibri" w:hAnsi="Calibri"/>
                <w:color w:val="1F2937"/>
                <w:sz w:val="16"/>
              </w:rPr>
              <w:t>Point-in-time rule/version context; source watermark.</w:t>
            </w:r>
          </w:p>
        </w:tc>
      </w:tr>
      <w:tr>
        <w:trPr>
          <w:cantSplit/>
        </w:trPr>
        <w:tc>
          <w:tcPr>
            <w:tcW w:type="dxa" w:w="2200"/>
            <w:shd w:fill="F4F7FA"/>
          </w:tcPr>
          <w:p>
            <w:pPr>
              <w:spacing w:after="0"/>
            </w:pPr>
            <w:r>
              <w:rPr>
                <w:rFonts w:ascii="Calibri" w:hAnsi="Calibri"/>
                <w:color w:val="1F2937"/>
                <w:sz w:val="16"/>
              </w:rPr>
              <w:t>False-positive-linked population</w:t>
            </w:r>
          </w:p>
        </w:tc>
        <w:tc>
          <w:tcPr>
            <w:tcW w:type="dxa" w:w="4300"/>
            <w:shd w:fill="F4F7FA"/>
          </w:tcPr>
          <w:p>
            <w:pPr>
              <w:spacing w:after="0"/>
            </w:pPr>
            <w:r>
              <w:rPr>
                <w:rFonts w:ascii="Calibri" w:hAnsi="Calibri"/>
                <w:color w:val="1F2937"/>
                <w:sz w:val="16"/>
              </w:rPr>
              <w:t>Alerts/cases linked to finalized false-positive outcomes.</w:t>
            </w:r>
          </w:p>
        </w:tc>
        <w:tc>
          <w:tcPr>
            <w:tcW w:type="dxa" w:w="2860"/>
            <w:shd w:fill="F4F7FA"/>
          </w:tcPr>
          <w:p>
            <w:pPr>
              <w:spacing w:after="0"/>
            </w:pPr>
            <w:r>
              <w:rPr>
                <w:rFonts w:ascii="Calibri" w:hAnsi="Calibri"/>
                <w:color w:val="1F2937"/>
                <w:sz w:val="16"/>
              </w:rPr>
              <w:t>Outcome mapping and maturity policy.</w:t>
            </w:r>
          </w:p>
        </w:tc>
      </w:tr>
      <w:tr>
        <w:trPr>
          <w:cantSplit/>
        </w:trPr>
        <w:tc>
          <w:tcPr>
            <w:tcW w:type="dxa" w:w="2200"/>
            <w:shd w:fill="FFFFFF"/>
          </w:tcPr>
          <w:p>
            <w:pPr>
              <w:spacing w:after="0"/>
            </w:pPr>
            <w:r>
              <w:rPr>
                <w:rFonts w:ascii="Calibri" w:hAnsi="Calibri"/>
                <w:color w:val="1F2937"/>
                <w:sz w:val="16"/>
              </w:rPr>
              <w:t>Comparable non-match population</w:t>
            </w:r>
          </w:p>
        </w:tc>
        <w:tc>
          <w:tcPr>
            <w:tcW w:type="dxa" w:w="4300"/>
            <w:shd w:fill="FFFFFF"/>
          </w:tcPr>
          <w:p>
            <w:pPr>
              <w:spacing w:after="0"/>
            </w:pPr>
            <w:r>
              <w:rPr>
                <w:rFonts w:ascii="Calibri" w:hAnsi="Calibri"/>
                <w:color w:val="1F2937"/>
                <w:sz w:val="16"/>
              </w:rPr>
              <w:t>Comparable records where technically available.</w:t>
            </w:r>
          </w:p>
        </w:tc>
        <w:tc>
          <w:tcPr>
            <w:tcW w:type="dxa" w:w="2860"/>
            <w:shd w:fill="FFFFFF"/>
          </w:tcPr>
          <w:p>
            <w:pPr>
              <w:spacing w:after="0"/>
            </w:pPr>
            <w:r>
              <w:rPr>
                <w:rFonts w:ascii="Calibri" w:hAnsi="Calibri"/>
                <w:color w:val="1F2937"/>
                <w:sz w:val="16"/>
              </w:rPr>
              <w:t>Explicit cohort definition; no invented negatives.</w:t>
            </w:r>
          </w:p>
        </w:tc>
      </w:tr>
      <w:tr>
        <w:trPr>
          <w:cantSplit/>
        </w:trPr>
        <w:tc>
          <w:tcPr>
            <w:tcW w:type="dxa" w:w="2200"/>
            <w:shd w:fill="F4F7FA"/>
          </w:tcPr>
          <w:p>
            <w:pPr>
              <w:spacing w:after="0"/>
            </w:pPr>
            <w:r>
              <w:rPr>
                <w:rFonts w:ascii="Calibri" w:hAnsi="Calibri"/>
                <w:color w:val="1F2937"/>
                <w:sz w:val="16"/>
              </w:rPr>
              <w:t>Near-threshold band</w:t>
            </w:r>
          </w:p>
        </w:tc>
        <w:tc>
          <w:tcPr>
            <w:tcW w:type="dxa" w:w="4300"/>
            <w:shd w:fill="F4F7FA"/>
          </w:tcPr>
          <w:p>
            <w:pPr>
              <w:spacing w:after="0"/>
            </w:pPr>
            <w:r>
              <w:rPr>
                <w:rFonts w:ascii="Calibri" w:hAnsi="Calibri"/>
                <w:color w:val="1F2937"/>
                <w:sz w:val="16"/>
              </w:rPr>
              <w:t>Records close to current threshold for sensitivity analysis.</w:t>
            </w:r>
          </w:p>
        </w:tc>
        <w:tc>
          <w:tcPr>
            <w:tcW w:type="dxa" w:w="2860"/>
            <w:shd w:fill="F4F7FA"/>
          </w:tcPr>
          <w:p>
            <w:pPr>
              <w:spacing w:after="0"/>
            </w:pPr>
            <w:r>
              <w:rPr>
                <w:rFonts w:ascii="Calibri" w:hAnsi="Calibri"/>
                <w:color w:val="1F2937"/>
                <w:sz w:val="16"/>
              </w:rPr>
              <w:t>Threshold band policy and minimum sample size.</w:t>
            </w:r>
          </w:p>
        </w:tc>
      </w:tr>
      <w:tr>
        <w:trPr>
          <w:cantSplit/>
        </w:trPr>
        <w:tc>
          <w:tcPr>
            <w:tcW w:type="dxa" w:w="2200"/>
            <w:shd w:fill="FFFFFF"/>
          </w:tcPr>
          <w:p>
            <w:pPr>
              <w:spacing w:after="0"/>
            </w:pPr>
            <w:r>
              <w:rPr>
                <w:rFonts w:ascii="Calibri" w:hAnsi="Calibri"/>
                <w:color w:val="1F2937"/>
                <w:sz w:val="16"/>
              </w:rPr>
              <w:t>Overlap population</w:t>
            </w:r>
          </w:p>
        </w:tc>
        <w:tc>
          <w:tcPr>
            <w:tcW w:type="dxa" w:w="4300"/>
            <w:shd w:fill="FFFFFF"/>
          </w:tcPr>
          <w:p>
            <w:pPr>
              <w:spacing w:after="0"/>
            </w:pPr>
            <w:r>
              <w:rPr>
                <w:rFonts w:ascii="Calibri" w:hAnsi="Calibri"/>
                <w:color w:val="1F2937"/>
                <w:sz w:val="16"/>
              </w:rPr>
              <w:t>Records where selected and other rules fired together.</w:t>
            </w:r>
          </w:p>
        </w:tc>
        <w:tc>
          <w:tcPr>
            <w:tcW w:type="dxa" w:w="2860"/>
            <w:shd w:fill="FFFFFF"/>
          </w:tcPr>
          <w:p>
            <w:pPr>
              <w:spacing w:after="0"/>
            </w:pPr>
            <w:r>
              <w:rPr>
                <w:rFonts w:ascii="Calibri" w:hAnsi="Calibri"/>
                <w:color w:val="1F2937"/>
                <w:sz w:val="16"/>
              </w:rPr>
              <w:t>Source-aware match lineage.</w:t>
            </w:r>
          </w:p>
        </w:tc>
      </w:tr>
    </w:tbl>
    <w:p>
      <w:pPr>
        <w:spacing w:after="40"/>
      </w:pPr>
    </w:p>
    <w:p>
      <w:pPr>
        <w:pStyle w:val="Heading2"/>
      </w:pPr>
      <w:r>
        <w:rPr>
          <w:rFonts w:ascii="Calibri" w:hAnsi="Calibri"/>
          <w:color w:val="1F2937"/>
          <w:sz w:val="21"/>
        </w:rPr>
        <w:t>8.2 Snapshot controls</w:t>
      </w:r>
    </w:p>
    <w:p>
      <w:pPr>
        <w:numPr>
          <w:ilvl w:val="0"/>
          <w:numId w:val="4"/>
        </w:numPr>
        <w:spacing w:after="60"/>
        <w:ind w:left="403" w:hanging="259"/>
      </w:pPr>
      <w:r>
        <w:rPr>
          <w:rFonts w:ascii="Calibri" w:hAnsi="Calibri"/>
          <w:color w:val="1F2937"/>
          <w:sz w:val="20"/>
        </w:rPr>
        <w:t>Fixed analysis_cutoff and UTC timezone.</w:t>
      </w:r>
    </w:p>
    <w:p>
      <w:pPr>
        <w:numPr>
          <w:ilvl w:val="0"/>
          <w:numId w:val="4"/>
        </w:numPr>
        <w:spacing w:after="60"/>
        <w:ind w:left="403" w:hanging="259"/>
      </w:pPr>
      <w:r>
        <w:rPr>
          <w:rFonts w:ascii="Calibri" w:hAnsi="Calibri"/>
          <w:color w:val="1F2937"/>
          <w:sz w:val="20"/>
        </w:rPr>
        <w:t>Window_from/window_to stored in snapshot_manifest.</w:t>
      </w:r>
    </w:p>
    <w:p>
      <w:pPr>
        <w:numPr>
          <w:ilvl w:val="0"/>
          <w:numId w:val="4"/>
        </w:numPr>
        <w:spacing w:after="60"/>
        <w:ind w:left="403" w:hanging="259"/>
      </w:pPr>
      <w:r>
        <w:rPr>
          <w:rFonts w:ascii="Calibri" w:hAnsi="Calibri"/>
          <w:color w:val="1F2937"/>
          <w:sz w:val="20"/>
        </w:rPr>
        <w:t>Institution, rule, fact scope and exclusions included in scope_hash.</w:t>
      </w:r>
    </w:p>
    <w:p>
      <w:pPr>
        <w:numPr>
          <w:ilvl w:val="0"/>
          <w:numId w:val="4"/>
        </w:numPr>
        <w:spacing w:after="60"/>
        <w:ind w:left="403" w:hanging="259"/>
      </w:pPr>
      <w:r>
        <w:rPr>
          <w:rFonts w:ascii="Calibri" w:hAnsi="Calibri"/>
          <w:color w:val="1F2937"/>
          <w:sz w:val="20"/>
        </w:rPr>
        <w:t>Query hashes, metric-definition hashes, extraction code and connector versions persisted.</w:t>
      </w:r>
    </w:p>
    <w:p>
      <w:pPr>
        <w:numPr>
          <w:ilvl w:val="0"/>
          <w:numId w:val="4"/>
        </w:numPr>
        <w:spacing w:after="60"/>
        <w:ind w:left="403" w:hanging="259"/>
      </w:pPr>
      <w:r>
        <w:rPr>
          <w:rFonts w:ascii="Calibri" w:hAnsi="Calibri"/>
          <w:color w:val="1F2937"/>
          <w:sz w:val="20"/>
        </w:rPr>
        <w:t>Partitioned Parquet in approved object storage/analytical file store; only manifest, artifact parts, hashes, counts and evidence in PostgreSQL.</w:t>
      </w:r>
    </w:p>
    <w:p>
      <w:pPr>
        <w:numPr>
          <w:ilvl w:val="0"/>
          <w:numId w:val="4"/>
        </w:numPr>
        <w:spacing w:after="60"/>
        <w:ind w:left="403" w:hanging="259"/>
      </w:pPr>
      <w:r>
        <w:rPr>
          <w:rFonts w:ascii="Calibri" w:hAnsi="Calibri"/>
          <w:color w:val="1F2937"/>
          <w:sz w:val="20"/>
        </w:rPr>
        <w:t>No raw full snapshot in LangGraph checkpoints.</w:t>
      </w:r>
    </w:p>
    <w:p>
      <w:pPr>
        <w:numPr>
          <w:ilvl w:val="0"/>
          <w:numId w:val="4"/>
        </w:numPr>
        <w:spacing w:after="60"/>
        <w:ind w:left="403" w:hanging="259"/>
      </w:pPr>
      <w:r>
        <w:rPr>
          <w:rFonts w:ascii="Calibri" w:hAnsi="Calibri"/>
          <w:color w:val="1F2937"/>
          <w:sz w:val="20"/>
        </w:rPr>
        <w:t>A failed readiness gate blocks actions configured by data_quality_result: analysis, LLM or recommendation.</w:t>
      </w:r>
    </w:p>
    <w:p>
      <w:pPr>
        <w:pStyle w:val="Heading2"/>
      </w:pPr>
      <w:r>
        <w:rPr>
          <w:rFonts w:ascii="Calibri" w:hAnsi="Calibri"/>
          <w:color w:val="1F2937"/>
          <w:sz w:val="21"/>
        </w:rPr>
        <w:t>8.3 Rule-health metric families</w:t>
      </w:r>
    </w:p>
    <w:tbl>
      <w:tblPr>
        <w:tblW w:type="dxa" w:w="9360"/>
        <w:jc w:val="left"/>
        <w:tblLayout w:type="fixed"/>
        <w:tblLook w:firstColumn="1" w:firstRow="1" w:lastColumn="0" w:lastRow="0" w:noHBand="0" w:noVBand="1" w:val="04A0"/>
        <w:tblInd w:w="120" w:type="dxa"/>
      </w:tblPr>
      <w:tblGrid>
        <w:gridCol w:w="1900"/>
        <w:gridCol w:w="4300"/>
        <w:gridCol w:w="3160"/>
      </w:tblGrid>
      <w:tr>
        <w:tc>
          <w:tcPr>
            <w:tcW w:type="dxa" w:w="19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Family</w:t>
            </w:r>
          </w:p>
        </w:tc>
        <w:tc>
          <w:tcPr>
            <w:tcW w:type="dxa" w:w="43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Examples</w:t>
            </w:r>
          </w:p>
        </w:tc>
        <w:tc>
          <w:tcPr>
            <w:tcW w:type="dxa" w:w="31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Guardrail</w:t>
            </w:r>
          </w:p>
        </w:tc>
      </w:tr>
      <w:tr>
        <w:trPr>
          <w:cantSplit/>
        </w:trPr>
        <w:tc>
          <w:tcPr>
            <w:tcW w:type="dxa" w:w="1900"/>
            <w:shd w:fill="FFFFFF"/>
          </w:tcPr>
          <w:p>
            <w:pPr>
              <w:spacing w:after="0"/>
            </w:pPr>
            <w:r>
              <w:rPr>
                <w:rFonts w:ascii="Calibri" w:hAnsi="Calibri"/>
                <w:color w:val="1F2937"/>
                <w:sz w:val="16"/>
              </w:rPr>
              <w:t>Volume</w:t>
            </w:r>
          </w:p>
        </w:tc>
        <w:tc>
          <w:tcPr>
            <w:tcW w:type="dxa" w:w="4300"/>
            <w:shd w:fill="FFFFFF"/>
          </w:tcPr>
          <w:p>
            <w:pPr>
              <w:spacing w:after="0"/>
            </w:pPr>
            <w:r>
              <w:rPr>
                <w:rFonts w:ascii="Calibri" w:hAnsi="Calibri"/>
                <w:color w:val="1F2937"/>
                <w:sz w:val="16"/>
              </w:rPr>
              <w:t>Match count, alert count, case count, alert rate</w:t>
            </w:r>
          </w:p>
        </w:tc>
        <w:tc>
          <w:tcPr>
            <w:tcW w:type="dxa" w:w="3160"/>
            <w:shd w:fill="FFFFFF"/>
          </w:tcPr>
          <w:p>
            <w:pPr>
              <w:spacing w:after="0"/>
            </w:pPr>
            <w:r>
              <w:rPr>
                <w:rFonts w:ascii="Calibri" w:hAnsi="Calibri"/>
                <w:color w:val="1F2937"/>
                <w:sz w:val="16"/>
              </w:rPr>
              <w:t>Always show denominator and window.</w:t>
            </w:r>
          </w:p>
        </w:tc>
      </w:tr>
      <w:tr>
        <w:trPr>
          <w:cantSplit/>
        </w:trPr>
        <w:tc>
          <w:tcPr>
            <w:tcW w:type="dxa" w:w="1900"/>
            <w:shd w:fill="F4F7FA"/>
          </w:tcPr>
          <w:p>
            <w:pPr>
              <w:spacing w:after="0"/>
            </w:pPr>
            <w:r>
              <w:rPr>
                <w:rFonts w:ascii="Calibri" w:hAnsi="Calibri"/>
                <w:color w:val="1F2937"/>
                <w:sz w:val="16"/>
              </w:rPr>
              <w:t>Outcome quality</w:t>
            </w:r>
          </w:p>
        </w:tc>
        <w:tc>
          <w:tcPr>
            <w:tcW w:type="dxa" w:w="4300"/>
            <w:shd w:fill="F4F7FA"/>
          </w:tcPr>
          <w:p>
            <w:pPr>
              <w:spacing w:after="0"/>
            </w:pPr>
            <w:r>
              <w:rPr>
                <w:rFonts w:ascii="Calibri" w:hAnsi="Calibri"/>
                <w:color w:val="1F2937"/>
                <w:sz w:val="16"/>
              </w:rPr>
              <w:t>False-positive rate among finalized outcomes, yield, conversion</w:t>
            </w:r>
          </w:p>
        </w:tc>
        <w:tc>
          <w:tcPr>
            <w:tcW w:type="dxa" w:w="3160"/>
            <w:shd w:fill="F4F7FA"/>
          </w:tcPr>
          <w:p>
            <w:pPr>
              <w:spacing w:after="0"/>
            </w:pPr>
            <w:r>
              <w:rPr>
                <w:rFonts w:ascii="Calibri" w:hAnsi="Calibri"/>
                <w:color w:val="1F2937"/>
                <w:sz w:val="16"/>
              </w:rPr>
              <w:t>Do not treat unresolved cases as negatives.</w:t>
            </w:r>
          </w:p>
        </w:tc>
      </w:tr>
      <w:tr>
        <w:trPr>
          <w:cantSplit/>
        </w:trPr>
        <w:tc>
          <w:tcPr>
            <w:tcW w:type="dxa" w:w="1900"/>
            <w:shd w:fill="FFFFFF"/>
          </w:tcPr>
          <w:p>
            <w:pPr>
              <w:spacing w:after="0"/>
            </w:pPr>
            <w:r>
              <w:rPr>
                <w:rFonts w:ascii="Calibri" w:hAnsi="Calibri"/>
                <w:color w:val="1F2937"/>
                <w:sz w:val="16"/>
              </w:rPr>
              <w:t>Contribution</w:t>
            </w:r>
          </w:p>
        </w:tc>
        <w:tc>
          <w:tcPr>
            <w:tcW w:type="dxa" w:w="4300"/>
            <w:shd w:fill="FFFFFF"/>
          </w:tcPr>
          <w:p>
            <w:pPr>
              <w:spacing w:after="0"/>
            </w:pPr>
            <w:r>
              <w:rPr>
                <w:rFonts w:ascii="Calibri" w:hAnsi="Calibri"/>
                <w:color w:val="1F2937"/>
                <w:sz w:val="16"/>
              </w:rPr>
              <w:t>Share of alerts/cases where the rule contributed</w:t>
            </w:r>
          </w:p>
        </w:tc>
        <w:tc>
          <w:tcPr>
            <w:tcW w:type="dxa" w:w="3160"/>
            <w:shd w:fill="FFFFFF"/>
          </w:tcPr>
          <w:p>
            <w:pPr>
              <w:spacing w:after="0"/>
            </w:pPr>
            <w:r>
              <w:rPr>
                <w:rFonts w:ascii="Calibri" w:hAnsi="Calibri"/>
                <w:color w:val="1F2937"/>
                <w:sz w:val="16"/>
              </w:rPr>
              <w:t>Use match-level lineage and deduplicate.</w:t>
            </w:r>
          </w:p>
        </w:tc>
      </w:tr>
      <w:tr>
        <w:trPr>
          <w:cantSplit/>
        </w:trPr>
        <w:tc>
          <w:tcPr>
            <w:tcW w:type="dxa" w:w="1900"/>
            <w:shd w:fill="F4F7FA"/>
          </w:tcPr>
          <w:p>
            <w:pPr>
              <w:spacing w:after="0"/>
            </w:pPr>
            <w:r>
              <w:rPr>
                <w:rFonts w:ascii="Calibri" w:hAnsi="Calibri"/>
                <w:color w:val="1F2937"/>
                <w:sz w:val="16"/>
              </w:rPr>
              <w:t>Stability</w:t>
            </w:r>
          </w:p>
        </w:tc>
        <w:tc>
          <w:tcPr>
            <w:tcW w:type="dxa" w:w="4300"/>
            <w:shd w:fill="F4F7FA"/>
          </w:tcPr>
          <w:p>
            <w:pPr>
              <w:spacing w:after="0"/>
            </w:pPr>
            <w:r>
              <w:rPr>
                <w:rFonts w:ascii="Calibri" w:hAnsi="Calibri"/>
                <w:color w:val="1F2937"/>
                <w:sz w:val="16"/>
              </w:rPr>
              <w:t>Period variance, intervals, segment drift</w:t>
            </w:r>
          </w:p>
        </w:tc>
        <w:tc>
          <w:tcPr>
            <w:tcW w:type="dxa" w:w="3160"/>
            <w:shd w:fill="F4F7FA"/>
          </w:tcPr>
          <w:p>
            <w:pPr>
              <w:spacing w:after="0"/>
            </w:pPr>
            <w:r>
              <w:rPr>
                <w:rFonts w:ascii="Calibri" w:hAnsi="Calibri"/>
                <w:color w:val="1F2937"/>
                <w:sz w:val="16"/>
              </w:rPr>
              <w:t>Require minimum sample and sustained pattern.</w:t>
            </w:r>
          </w:p>
        </w:tc>
      </w:tr>
      <w:tr>
        <w:trPr>
          <w:cantSplit/>
        </w:trPr>
        <w:tc>
          <w:tcPr>
            <w:tcW w:type="dxa" w:w="1900"/>
            <w:shd w:fill="FFFFFF"/>
          </w:tcPr>
          <w:p>
            <w:pPr>
              <w:spacing w:after="0"/>
            </w:pPr>
            <w:r>
              <w:rPr>
                <w:rFonts w:ascii="Calibri" w:hAnsi="Calibri"/>
                <w:color w:val="1F2937"/>
                <w:sz w:val="16"/>
              </w:rPr>
              <w:t>Capacity</w:t>
            </w:r>
          </w:p>
        </w:tc>
        <w:tc>
          <w:tcPr>
            <w:tcW w:type="dxa" w:w="4300"/>
            <w:shd w:fill="FFFFFF"/>
          </w:tcPr>
          <w:p>
            <w:pPr>
              <w:spacing w:after="0"/>
            </w:pPr>
            <w:r>
              <w:rPr>
                <w:rFonts w:ascii="Calibri" w:hAnsi="Calibri"/>
                <w:color w:val="1F2937"/>
                <w:sz w:val="16"/>
              </w:rPr>
              <w:t>Alert-volume change under recommendation</w:t>
            </w:r>
          </w:p>
        </w:tc>
        <w:tc>
          <w:tcPr>
            <w:tcW w:type="dxa" w:w="3160"/>
            <w:shd w:fill="FFFFFF"/>
          </w:tcPr>
          <w:p>
            <w:pPr>
              <w:spacing w:after="0"/>
            </w:pPr>
            <w:r>
              <w:rPr>
                <w:rFonts w:ascii="Calibri" w:hAnsi="Calibri"/>
                <w:color w:val="1F2937"/>
                <w:sz w:val="16"/>
              </w:rPr>
              <w:t>Alert-volume limit is the current capacity constraint.</w:t>
            </w:r>
          </w:p>
        </w:tc>
      </w:tr>
      <w:tr>
        <w:trPr>
          <w:cantSplit/>
        </w:trPr>
        <w:tc>
          <w:tcPr>
            <w:tcW w:type="dxa" w:w="1900"/>
            <w:shd w:fill="F4F7FA"/>
          </w:tcPr>
          <w:p>
            <w:pPr>
              <w:spacing w:after="0"/>
            </w:pPr>
            <w:r>
              <w:rPr>
                <w:rFonts w:ascii="Calibri" w:hAnsi="Calibri"/>
                <w:color w:val="1F2937"/>
                <w:sz w:val="16"/>
              </w:rPr>
              <w:t>Evidence strength</w:t>
            </w:r>
          </w:p>
        </w:tc>
        <w:tc>
          <w:tcPr>
            <w:tcW w:type="dxa" w:w="4300"/>
            <w:shd w:fill="F4F7FA"/>
          </w:tcPr>
          <w:p>
            <w:pPr>
              <w:spacing w:after="0"/>
            </w:pPr>
            <w:r>
              <w:rPr>
                <w:rFonts w:ascii="Calibri" w:hAnsi="Calibri"/>
                <w:color w:val="1F2937"/>
                <w:sz w:val="16"/>
              </w:rPr>
              <w:t>Completeness, maturity, lineage and version resolution</w:t>
            </w:r>
          </w:p>
        </w:tc>
        <w:tc>
          <w:tcPr>
            <w:tcW w:type="dxa" w:w="3160"/>
            <w:shd w:fill="F4F7FA"/>
          </w:tcPr>
          <w:p>
            <w:pPr>
              <w:spacing w:after="0"/>
            </w:pPr>
            <w:r>
              <w:rPr>
                <w:rFonts w:ascii="Calibri" w:hAnsi="Calibri"/>
                <w:color w:val="1F2937"/>
                <w:sz w:val="16"/>
              </w:rPr>
              <w:t>Separate evidence strength from severity.</w:t>
            </w:r>
          </w:p>
        </w:tc>
      </w:tr>
    </w:tbl>
    <w:p>
      <w:pPr>
        <w:spacing w:after="40"/>
      </w:pPr>
    </w:p>
    <w:p>
      <w:pPr>
        <w:pStyle w:val="Heading2"/>
      </w:pPr>
      <w:r>
        <w:rPr>
          <w:rFonts w:ascii="Calibri" w:hAnsi="Calibri"/>
          <w:color w:val="1F2937"/>
          <w:sz w:val="21"/>
        </w:rPr>
        <w:t>8.4 Decay decision logic</w:t>
      </w:r>
    </w:p>
    <w:p>
      <w:pPr>
        <w:numPr>
          <w:ilvl w:val="0"/>
          <w:numId w:val="5"/>
        </w:numPr>
        <w:spacing w:after="80"/>
        <w:ind w:left="403" w:hanging="259"/>
      </w:pPr>
      <w:r>
        <w:rPr>
          <w:rFonts w:ascii="Calibri" w:hAnsi="Calibri"/>
          <w:color w:val="1F2937"/>
          <w:sz w:val="20"/>
        </w:rPr>
        <w:t>Compare configured baseline and recent windows.</w:t>
      </w:r>
    </w:p>
    <w:p>
      <w:pPr>
        <w:numPr>
          <w:ilvl w:val="0"/>
          <w:numId w:val="5"/>
        </w:numPr>
        <w:spacing w:after="80"/>
        <w:ind w:left="403" w:hanging="259"/>
      </w:pPr>
      <w:r>
        <w:rPr>
          <w:rFonts w:ascii="Calibri" w:hAnsi="Calibri"/>
          <w:color w:val="1F2937"/>
          <w:sz w:val="20"/>
        </w:rPr>
        <w:t>Calculate absolute and relative changes for selected metrics.</w:t>
      </w:r>
    </w:p>
    <w:p>
      <w:pPr>
        <w:numPr>
          <w:ilvl w:val="0"/>
          <w:numId w:val="5"/>
        </w:numPr>
        <w:spacing w:after="80"/>
        <w:ind w:left="403" w:hanging="259"/>
      </w:pPr>
      <w:r>
        <w:rPr>
          <w:rFonts w:ascii="Calibri" w:hAnsi="Calibri"/>
          <w:color w:val="1F2937"/>
          <w:sz w:val="20"/>
        </w:rPr>
        <w:t>Apply minimum sample size and data-quality gates.</w:t>
      </w:r>
    </w:p>
    <w:p>
      <w:pPr>
        <w:numPr>
          <w:ilvl w:val="0"/>
          <w:numId w:val="5"/>
        </w:numPr>
        <w:spacing w:after="80"/>
        <w:ind w:left="403" w:hanging="259"/>
      </w:pPr>
      <w:r>
        <w:rPr>
          <w:rFonts w:ascii="Calibri" w:hAnsi="Calibri"/>
          <w:color w:val="1F2937"/>
          <w:sz w:val="20"/>
        </w:rPr>
        <w:t>Require persistence; one anomalous day is not decay.</w:t>
      </w:r>
    </w:p>
    <w:p>
      <w:pPr>
        <w:numPr>
          <w:ilvl w:val="0"/>
          <w:numId w:val="5"/>
        </w:numPr>
        <w:spacing w:after="80"/>
        <w:ind w:left="403" w:hanging="259"/>
      </w:pPr>
      <w:r>
        <w:rPr>
          <w:rFonts w:ascii="Calibri" w:hAnsi="Calibri"/>
          <w:color w:val="1F2937"/>
          <w:sz w:val="20"/>
        </w:rPr>
        <w:t>Classify NOT_DETECTED, SUSPECTED, CONFIRMED or UNKNOWN.</w:t>
      </w:r>
    </w:p>
    <w:p>
      <w:pPr>
        <w:numPr>
          <w:ilvl w:val="0"/>
          <w:numId w:val="5"/>
        </w:numPr>
        <w:spacing w:after="80"/>
        <w:ind w:left="403" w:hanging="259"/>
      </w:pPr>
      <w:r>
        <w:rPr>
          <w:rFonts w:ascii="Calibri" w:hAnsi="Calibri"/>
          <w:color w:val="1F2937"/>
          <w:sz w:val="20"/>
        </w:rPr>
        <w:t>Carry periods, formulas, thresholds and limitations into evidence.</w:t>
      </w:r>
    </w:p>
    <w:p>
      <w:pPr>
        <w:pStyle w:val="Heading1"/>
      </w:pPr>
      <w:r>
        <w:rPr>
          <w:rFonts w:ascii="Calibri" w:hAnsi="Calibri"/>
          <w:color w:val="1F2937"/>
          <w:sz w:val="21"/>
        </w:rPr>
        <w:t>9. LLM boundary and reasoning design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12" w:space="0" w:color="167A83"/>
              <w:left w:val="single" w:sz="12" w:space="0" w:color="167A83"/>
              <w:bottom w:val="single" w:sz="12" w:space="0" w:color="167A83"/>
              <w:right w:val="single" w:sz="12" w:space="0" w:color="167A83"/>
              <w:insideH w:val="single" w:sz="12" w:space="0" w:color="167A83"/>
              <w:insideV w:val="single" w:sz="12" w:space="0" w:color="167A83"/>
            </w:tcBorders>
            <w:vAlign w:val="center"/>
            <w:shd w:fill="E8F4F3"/>
          </w:tcPr>
          <w:p>
            <w:pPr>
              <w:spacing w:after="0"/>
            </w:pPr>
            <w:r>
              <w:rPr>
                <w:rFonts w:ascii="Calibri" w:hAnsi="Calibri"/>
                <w:b/>
                <w:color w:val="167A83"/>
                <w:sz w:val="21"/>
              </w:rPr>
              <w:t xml:space="preserve">Single approved LLM location  </w:t>
            </w:r>
            <w:r>
              <w:rPr>
                <w:rFonts w:ascii="Calibri" w:hAnsi="Calibri"/>
                <w:color w:val="1F2937"/>
                <w:sz w:val="21"/>
              </w:rPr>
              <w:t>The LLM is called in the explain node, after snapshot validation, deterministic analytics and strategy selection. It receives structured findings and evidence references, never unrestricted database access.</w:t>
            </w:r>
          </w:p>
        </w:tc>
      </w:tr>
    </w:tbl>
    <w:p>
      <w:pPr>
        <w:spacing w:after="40"/>
      </w:pPr>
    </w:p>
    <w:tbl>
      <w:tblPr>
        <w:tblW w:type="dxa" w:w="9360"/>
        <w:jc w:val="left"/>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Question</w:t>
            </w:r>
          </w:p>
        </w:tc>
        <w:tc>
          <w:tcPr>
            <w:tcW w:type="dxa" w:w="67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Decision</w:t>
            </w:r>
          </w:p>
        </w:tc>
      </w:tr>
      <w:tr>
        <w:trPr>
          <w:cantSplit/>
        </w:trPr>
        <w:tc>
          <w:tcPr>
            <w:tcW w:type="dxa" w:w="2600"/>
            <w:shd w:fill="FFFFFF"/>
          </w:tcPr>
          <w:p>
            <w:pPr>
              <w:spacing w:after="0"/>
            </w:pPr>
            <w:r>
              <w:rPr>
                <w:rFonts w:ascii="Calibri" w:hAnsi="Calibri"/>
                <w:color w:val="1F2937"/>
                <w:sz w:val="16"/>
              </w:rPr>
              <w:t>Does the LLM retrieve EFRM data?</w:t>
            </w:r>
          </w:p>
        </w:tc>
        <w:tc>
          <w:tcPr>
            <w:tcW w:type="dxa" w:w="6760"/>
            <w:shd w:fill="FFFFFF"/>
          </w:tcPr>
          <w:p>
            <w:pPr>
              <w:spacing w:after="0"/>
            </w:pPr>
            <w:r>
              <w:rPr>
                <w:rFonts w:ascii="Calibri" w:hAnsi="Calibri"/>
                <w:color w:val="1F2937"/>
                <w:sz w:val="16"/>
              </w:rPr>
              <w:t>No. Predefined SQL tools retrieve it.</w:t>
            </w:r>
          </w:p>
        </w:tc>
      </w:tr>
      <w:tr>
        <w:trPr>
          <w:cantSplit/>
        </w:trPr>
        <w:tc>
          <w:tcPr>
            <w:tcW w:type="dxa" w:w="2600"/>
            <w:shd w:fill="F4F7FA"/>
          </w:tcPr>
          <w:p>
            <w:pPr>
              <w:spacing w:after="0"/>
            </w:pPr>
            <w:r>
              <w:rPr>
                <w:rFonts w:ascii="Calibri" w:hAnsi="Calibri"/>
                <w:color w:val="1F2937"/>
                <w:sz w:val="16"/>
              </w:rPr>
              <w:t>Does it calculate health or decay?</w:t>
            </w:r>
          </w:p>
        </w:tc>
        <w:tc>
          <w:tcPr>
            <w:tcW w:type="dxa" w:w="6760"/>
            <w:shd w:fill="F4F7FA"/>
          </w:tcPr>
          <w:p>
            <w:pPr>
              <w:spacing w:after="0"/>
            </w:pPr>
            <w:r>
              <w:rPr>
                <w:rFonts w:ascii="Calibri" w:hAnsi="Calibri"/>
                <w:color w:val="1F2937"/>
                <w:sz w:val="16"/>
              </w:rPr>
              <w:t>No. Python/SQL calculate official metrics.</w:t>
            </w:r>
          </w:p>
        </w:tc>
      </w:tr>
      <w:tr>
        <w:trPr>
          <w:cantSplit/>
        </w:trPr>
        <w:tc>
          <w:tcPr>
            <w:tcW w:type="dxa" w:w="2600"/>
            <w:shd w:fill="FFFFFF"/>
          </w:tcPr>
          <w:p>
            <w:pPr>
              <w:spacing w:after="0"/>
            </w:pPr>
            <w:r>
              <w:rPr>
                <w:rFonts w:ascii="Calibri" w:hAnsi="Calibri"/>
                <w:color w:val="1F2937"/>
                <w:sz w:val="16"/>
              </w:rPr>
              <w:t>Does it select the recommendation?</w:t>
            </w:r>
          </w:p>
        </w:tc>
        <w:tc>
          <w:tcPr>
            <w:tcW w:type="dxa" w:w="6760"/>
            <w:shd w:fill="FFFFFF"/>
          </w:tcPr>
          <w:p>
            <w:pPr>
              <w:spacing w:after="0"/>
            </w:pPr>
            <w:r>
              <w:rPr>
                <w:rFonts w:ascii="Calibri" w:hAnsi="Calibri"/>
                <w:color w:val="1F2937"/>
                <w:sz w:val="16"/>
              </w:rPr>
              <w:t>No in Phase 1. strategy.build applies deterministic policy.</w:t>
            </w:r>
          </w:p>
        </w:tc>
      </w:tr>
      <w:tr>
        <w:trPr>
          <w:cantSplit/>
        </w:trPr>
        <w:tc>
          <w:tcPr>
            <w:tcW w:type="dxa" w:w="2600"/>
            <w:shd w:fill="F4F7FA"/>
          </w:tcPr>
          <w:p>
            <w:pPr>
              <w:spacing w:after="0"/>
            </w:pPr>
            <w:r>
              <w:rPr>
                <w:rFonts w:ascii="Calibri" w:hAnsi="Calibri"/>
                <w:color w:val="1F2937"/>
                <w:sz w:val="16"/>
              </w:rPr>
              <w:t>What does it add?</w:t>
            </w:r>
          </w:p>
        </w:tc>
        <w:tc>
          <w:tcPr>
            <w:tcW w:type="dxa" w:w="6760"/>
            <w:shd w:fill="F4F7FA"/>
          </w:tcPr>
          <w:p>
            <w:pPr>
              <w:spacing w:after="0"/>
            </w:pPr>
            <w:r>
              <w:rPr>
                <w:rFonts w:ascii="Calibri" w:hAnsi="Calibri"/>
                <w:color w:val="1F2937"/>
                <w:sz w:val="16"/>
              </w:rPr>
              <w:t>A readable explanation, supported causes and limitations.</w:t>
            </w:r>
          </w:p>
        </w:tc>
      </w:tr>
      <w:tr>
        <w:trPr>
          <w:cantSplit/>
        </w:trPr>
        <w:tc>
          <w:tcPr>
            <w:tcW w:type="dxa" w:w="2600"/>
            <w:shd w:fill="FFFFFF"/>
          </w:tcPr>
          <w:p>
            <w:pPr>
              <w:spacing w:after="0"/>
            </w:pPr>
            <w:r>
              <w:rPr>
                <w:rFonts w:ascii="Calibri" w:hAnsi="Calibri"/>
                <w:color w:val="1F2937"/>
                <w:sz w:val="16"/>
              </w:rPr>
              <w:t>What if it fails?</w:t>
            </w:r>
          </w:p>
        </w:tc>
        <w:tc>
          <w:tcPr>
            <w:tcW w:type="dxa" w:w="6760"/>
            <w:shd w:fill="FFFFFF"/>
          </w:tcPr>
          <w:p>
            <w:pPr>
              <w:spacing w:after="0"/>
            </w:pPr>
            <w:r>
              <w:rPr>
                <w:rFonts w:ascii="Calibri" w:hAnsi="Calibri"/>
                <w:color w:val="1F2937"/>
                <w:sz w:val="16"/>
              </w:rPr>
              <w:t>Use a deterministic template and record fallback_used.</w:t>
            </w:r>
          </w:p>
        </w:tc>
      </w:tr>
      <w:tr>
        <w:trPr>
          <w:cantSplit/>
        </w:trPr>
        <w:tc>
          <w:tcPr>
            <w:tcW w:type="dxa" w:w="2600"/>
            <w:shd w:fill="F4F7FA"/>
          </w:tcPr>
          <w:p>
            <w:pPr>
              <w:spacing w:after="0"/>
            </w:pPr>
            <w:r>
              <w:rPr>
                <w:rFonts w:ascii="Calibri" w:hAnsi="Calibri"/>
                <w:color w:val="1F2937"/>
                <w:sz w:val="16"/>
              </w:rPr>
              <w:t>Can external LLM be used?</w:t>
            </w:r>
          </w:p>
        </w:tc>
        <w:tc>
          <w:tcPr>
            <w:tcW w:type="dxa" w:w="6760"/>
            <w:shd w:fill="F4F7FA"/>
          </w:tcPr>
          <w:p>
            <w:pPr>
              <w:spacing w:after="0"/>
            </w:pPr>
            <w:r>
              <w:rPr>
                <w:rFonts w:ascii="Calibri" w:hAnsi="Calibri"/>
                <w:color w:val="1F2937"/>
                <w:sz w:val="16"/>
              </w:rPr>
              <w:t>Only through an allow-listed gateway with masking, egress policy and structured output.</w:t>
            </w:r>
          </w:p>
        </w:tc>
      </w:tr>
      <w:tr>
        <w:trPr>
          <w:cantSplit/>
        </w:trPr>
        <w:tc>
          <w:tcPr>
            <w:tcW w:type="dxa" w:w="2600"/>
            <w:shd w:fill="FFFFFF"/>
          </w:tcPr>
          <w:p>
            <w:pPr>
              <w:spacing w:after="0"/>
            </w:pPr>
            <w:r>
              <w:rPr>
                <w:rFonts w:ascii="Calibri" w:hAnsi="Calibri"/>
                <w:color w:val="1F2937"/>
                <w:sz w:val="16"/>
              </w:rPr>
              <w:t>What is stored?</w:t>
            </w:r>
          </w:p>
        </w:tc>
        <w:tc>
          <w:tcPr>
            <w:tcW w:type="dxa" w:w="6760"/>
            <w:shd w:fill="FFFFFF"/>
          </w:tcPr>
          <w:p>
            <w:pPr>
              <w:spacing w:after="0"/>
            </w:pPr>
            <w:r>
              <w:rPr>
                <w:rFonts w:ascii="Calibri" w:hAnsi="Calibri"/>
                <w:color w:val="1F2937"/>
                <w:sz w:val="16"/>
              </w:rPr>
              <w:t>Deployment, prompt, hashes, tokens, latency, validation and artifact references; never secrets or private chain-of-thought.</w:t>
            </w:r>
          </w:p>
        </w:tc>
      </w:tr>
    </w:tbl>
    <w:p>
      <w:pPr>
        <w:spacing w:after="40"/>
      </w:pPr>
    </w:p>
    <w:p>
      <w:pPr>
        <w:pStyle w:val="Heading2"/>
      </w:pPr>
      <w:r>
        <w:rPr>
          <w:rFonts w:ascii="Calibri" w:hAnsi="Calibri"/>
          <w:color w:val="1F2937"/>
          <w:sz w:val="21"/>
        </w:rPr>
        <w:t>9.1 Explanation validation</w:t>
      </w:r>
    </w:p>
    <w:p>
      <w:pPr>
        <w:numPr>
          <w:ilvl w:val="0"/>
          <w:numId w:val="4"/>
        </w:numPr>
        <w:spacing w:after="60"/>
        <w:ind w:left="403" w:hanging="259"/>
      </w:pPr>
      <w:r>
        <w:rPr>
          <w:rFonts w:ascii="Calibri" w:hAnsi="Calibri"/>
          <w:color w:val="1F2937"/>
          <w:sz w:val="20"/>
        </w:rPr>
        <w:t>Claim extraction identifies material statements.</w:t>
      </w:r>
    </w:p>
    <w:p>
      <w:pPr>
        <w:numPr>
          <w:ilvl w:val="0"/>
          <w:numId w:val="4"/>
        </w:numPr>
        <w:spacing w:after="60"/>
        <w:ind w:left="403" w:hanging="259"/>
      </w:pPr>
      <w:r>
        <w:rPr>
          <w:rFonts w:ascii="Calibri" w:hAnsi="Calibri"/>
          <w:color w:val="1F2937"/>
          <w:sz w:val="20"/>
        </w:rPr>
        <w:t>Each claim links to supporting, limiting or contradicting evidence.</w:t>
      </w:r>
    </w:p>
    <w:p>
      <w:pPr>
        <w:numPr>
          <w:ilvl w:val="0"/>
          <w:numId w:val="4"/>
        </w:numPr>
        <w:spacing w:after="60"/>
        <w:ind w:left="403" w:hanging="259"/>
      </w:pPr>
      <w:r>
        <w:rPr>
          <w:rFonts w:ascii="Calibri" w:hAnsi="Calibri"/>
          <w:color w:val="1F2937"/>
          <w:sz w:val="20"/>
        </w:rPr>
        <w:t>Numbers are compared to finding_metric values.</w:t>
      </w:r>
    </w:p>
    <w:p>
      <w:pPr>
        <w:numPr>
          <w:ilvl w:val="0"/>
          <w:numId w:val="4"/>
        </w:numPr>
        <w:spacing w:after="60"/>
        <w:ind w:left="403" w:hanging="259"/>
      </w:pPr>
      <w:r>
        <w:rPr>
          <w:rFonts w:ascii="Calibri" w:hAnsi="Calibri"/>
          <w:color w:val="1F2937"/>
          <w:sz w:val="20"/>
        </w:rPr>
        <w:t>Unsupported fraud, recall or leakage claims are rejected.</w:t>
      </w:r>
    </w:p>
    <w:p>
      <w:pPr>
        <w:numPr>
          <w:ilvl w:val="0"/>
          <w:numId w:val="4"/>
        </w:numPr>
        <w:spacing w:after="60"/>
        <w:ind w:left="403" w:hanging="259"/>
      </w:pPr>
      <w:r>
        <w:rPr>
          <w:rFonts w:ascii="Calibri" w:hAnsi="Calibri"/>
          <w:color w:val="1F2937"/>
          <w:sz w:val="20"/>
        </w:rPr>
        <w:t>A stale snapshot, stale rule hash or failed blocking gate invalidates the recommendation.</w:t>
      </w:r>
    </w:p>
    <w:p>
      <w:r>
        <w:br w:type="page"/>
      </w:r>
    </w:p>
    <w:p>
      <w:pPr>
        <w:pStyle w:val="Heading1"/>
      </w:pPr>
      <w:r>
        <w:rPr>
          <w:rFonts w:ascii="Calibri" w:hAnsi="Calibri"/>
          <w:color w:val="1F2937"/>
          <w:sz w:val="21"/>
        </w:rPr>
        <w:t>10. Recommendation product</w:t>
      </w:r>
    </w:p>
    <w:p>
      <w:pPr>
        <w:pStyle w:val="Heading2"/>
      </w:pPr>
      <w:r>
        <w:rPr>
          <w:rFonts w:ascii="Calibri" w:hAnsi="Calibri"/>
          <w:color w:val="1F2937"/>
          <w:sz w:val="21"/>
        </w:rPr>
        <w:t>10.1 Recommendation structure</w:t>
      </w:r>
    </w:p>
    <w:p>
      <w:pPr>
        <w:spacing w:line="240" w:lineRule="auto"/>
        <w:ind w:left="259"/>
      </w:pPr>
      <w:r>
        <w:rPr>
          <w:rFonts w:ascii="Consolas" w:hAnsi="Consolas"/>
          <w:color w:val="0B2545"/>
          <w:sz w:val="17"/>
        </w:rPr>
        <w:t>{</w:t>
        <w:br/>
        <w:t xml:space="preserve">  "rule": {"rule_reference": "...", "analysed_version": "..."},</w:t>
        <w:br/>
        <w:t xml:space="preserve">  "issue": "...",</w:t>
        <w:br/>
        <w:t xml:space="preserve">  "recommended_action_type": "REVIEW_THRESHOLD",</w:t>
        <w:br/>
        <w:t xml:space="preserve">  "recommended_change": "...",</w:t>
        <w:br/>
        <w:t xml:space="preserve">  "reason": "...",</w:t>
        <w:br/>
        <w:t xml:space="preserve">  "evidence": [{"evidence_id": "...", "supports": "..."}],</w:t>
        <w:br/>
        <w:t xml:space="preserve">  "expected_impact": {"alert_volume_direction": "DECREASE"},</w:t>
        <w:br/>
        <w:t xml:space="preserve">  "evidence_strength": "MEDIUM",</w:t>
        <w:br/>
        <w:t xml:space="preserve">  "limitations": ["..."],</w:t>
        <w:br/>
        <w:t xml:space="preserve">  "action_code": "HUMAN_REVIEW_REQUIRED"</w:t>
        <w:br/>
        <w:t>}</w:t>
      </w:r>
    </w:p>
    <w:p>
      <w:pPr>
        <w:pStyle w:val="Heading2"/>
      </w:pPr>
      <w:r>
        <w:rPr>
          <w:rFonts w:ascii="Calibri" w:hAnsi="Calibri"/>
          <w:color w:val="1F2937"/>
          <w:sz w:val="21"/>
        </w:rPr>
        <w:t>10.2 Recommendation decision logic</w:t>
      </w:r>
    </w:p>
    <w:tbl>
      <w:tblPr>
        <w:tblW w:type="dxa" w:w="9360"/>
        <w:jc w:val="left"/>
        <w:tblLayout w:type="fixed"/>
        <w:tblLook w:firstColumn="1" w:firstRow="1" w:lastColumn="0" w:lastRow="0" w:noHBand="0" w:noVBand="1" w:val="04A0"/>
        <w:tblInd w:w="120" w:type="dxa"/>
      </w:tblPr>
      <w:tblGrid>
        <w:gridCol w:w="3400"/>
        <w:gridCol w:w="5960"/>
      </w:tblGrid>
      <w:tr>
        <w:tc>
          <w:tcPr>
            <w:tcW w:type="dxa" w:w="34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Condition</w:t>
            </w:r>
          </w:p>
        </w:tc>
        <w:tc>
          <w:tcPr>
            <w:tcW w:type="dxa" w:w="59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Result</w:t>
            </w:r>
          </w:p>
        </w:tc>
      </w:tr>
      <w:tr>
        <w:trPr>
          <w:cantSplit/>
        </w:trPr>
        <w:tc>
          <w:tcPr>
            <w:tcW w:type="dxa" w:w="3400"/>
            <w:shd w:fill="FFFFFF"/>
          </w:tcPr>
          <w:p>
            <w:pPr>
              <w:spacing w:after="0"/>
            </w:pPr>
            <w:r>
              <w:rPr>
                <w:rFonts w:ascii="Calibri" w:hAnsi="Calibri"/>
                <w:color w:val="1F2937"/>
                <w:sz w:val="16"/>
              </w:rPr>
              <w:t>Case is not final FALSE_POSITIVE</w:t>
            </w:r>
          </w:p>
        </w:tc>
        <w:tc>
          <w:tcPr>
            <w:tcW w:type="dxa" w:w="5960"/>
            <w:shd w:fill="FFFFFF"/>
          </w:tcPr>
          <w:p>
            <w:pPr>
              <w:spacing w:after="0"/>
            </w:pPr>
            <w:r>
              <w:rPr>
                <w:rFonts w:ascii="Calibri" w:hAnsi="Calibri"/>
                <w:color w:val="1F2937"/>
                <w:sz w:val="16"/>
              </w:rPr>
              <w:t>Stop as INELIGIBLE; no recommendation.</w:t>
            </w:r>
          </w:p>
        </w:tc>
      </w:tr>
      <w:tr>
        <w:trPr>
          <w:cantSplit/>
        </w:trPr>
        <w:tc>
          <w:tcPr>
            <w:tcW w:type="dxa" w:w="3400"/>
            <w:shd w:fill="F4F7FA"/>
          </w:tcPr>
          <w:p>
            <w:pPr>
              <w:spacing w:after="0"/>
            </w:pPr>
            <w:r>
              <w:rPr>
                <w:rFonts w:ascii="Calibri" w:hAnsi="Calibri"/>
                <w:color w:val="1F2937"/>
                <w:sz w:val="16"/>
              </w:rPr>
              <w:t>Lineage or historical configuration is ambiguous</w:t>
            </w:r>
          </w:p>
        </w:tc>
        <w:tc>
          <w:tcPr>
            <w:tcW w:type="dxa" w:w="5960"/>
            <w:shd w:fill="F4F7FA"/>
          </w:tcPr>
          <w:p>
            <w:pPr>
              <w:spacing w:after="0"/>
            </w:pPr>
            <w:r>
              <w:rPr>
                <w:rFonts w:ascii="Calibri" w:hAnsi="Calibri"/>
                <w:color w:val="1F2937"/>
                <w:sz w:val="16"/>
              </w:rPr>
              <w:t>Store LIMITED/DEFERRED analysis; do not invent a version.</w:t>
            </w:r>
          </w:p>
        </w:tc>
      </w:tr>
      <w:tr>
        <w:trPr>
          <w:cantSplit/>
        </w:trPr>
        <w:tc>
          <w:tcPr>
            <w:tcW w:type="dxa" w:w="3400"/>
            <w:shd w:fill="FFFFFF"/>
          </w:tcPr>
          <w:p>
            <w:pPr>
              <w:spacing w:after="0"/>
            </w:pPr>
            <w:r>
              <w:rPr>
                <w:rFonts w:ascii="Calibri" w:hAnsi="Calibri"/>
                <w:color w:val="1F2937"/>
                <w:sz w:val="16"/>
              </w:rPr>
              <w:t>Snapshot readiness is blocked</w:t>
            </w:r>
          </w:p>
        </w:tc>
        <w:tc>
          <w:tcPr>
            <w:tcW w:type="dxa" w:w="5960"/>
            <w:shd w:fill="FFFFFF"/>
          </w:tcPr>
          <w:p>
            <w:pPr>
              <w:spacing w:after="0"/>
            </w:pPr>
            <w:r>
              <w:rPr>
                <w:rFonts w:ascii="Calibri" w:hAnsi="Calibri"/>
                <w:color w:val="1F2937"/>
                <w:sz w:val="16"/>
              </w:rPr>
              <w:t>Stop analytics or recommendation according to gate policy.</w:t>
            </w:r>
          </w:p>
        </w:tc>
      </w:tr>
      <w:tr>
        <w:trPr>
          <w:cantSplit/>
        </w:trPr>
        <w:tc>
          <w:tcPr>
            <w:tcW w:type="dxa" w:w="3400"/>
            <w:shd w:fill="F4F7FA"/>
          </w:tcPr>
          <w:p>
            <w:pPr>
              <w:spacing w:after="0"/>
            </w:pPr>
            <w:r>
              <w:rPr>
                <w:rFonts w:ascii="Calibri" w:hAnsi="Calibri"/>
                <w:color w:val="1F2937"/>
                <w:sz w:val="16"/>
              </w:rPr>
              <w:t>Evidence is sufficient and policy is met</w:t>
            </w:r>
          </w:p>
        </w:tc>
        <w:tc>
          <w:tcPr>
            <w:tcW w:type="dxa" w:w="5960"/>
            <w:shd w:fill="F4F7FA"/>
          </w:tcPr>
          <w:p>
            <w:pPr>
              <w:spacing w:after="0"/>
            </w:pPr>
            <w:r>
              <w:rPr>
                <w:rFonts w:ascii="Calibri" w:hAnsi="Calibri"/>
                <w:color w:val="1F2937"/>
                <w:sz w:val="16"/>
              </w:rPr>
              <w:t>Create REVIEW_REQUIRED recommendation.</w:t>
            </w:r>
          </w:p>
        </w:tc>
      </w:tr>
      <w:tr>
        <w:trPr>
          <w:cantSplit/>
        </w:trPr>
        <w:tc>
          <w:tcPr>
            <w:tcW w:type="dxa" w:w="3400"/>
            <w:shd w:fill="FFFFFF"/>
          </w:tcPr>
          <w:p>
            <w:pPr>
              <w:spacing w:after="0"/>
            </w:pPr>
            <w:r>
              <w:rPr>
                <w:rFonts w:ascii="Calibri" w:hAnsi="Calibri"/>
                <w:color w:val="1F2937"/>
                <w:sz w:val="16"/>
              </w:rPr>
              <w:t>Evidence is insufficient</w:t>
            </w:r>
          </w:p>
        </w:tc>
        <w:tc>
          <w:tcPr>
            <w:tcW w:type="dxa" w:w="5960"/>
            <w:shd w:fill="FFFFFF"/>
          </w:tcPr>
          <w:p>
            <w:pPr>
              <w:spacing w:after="0"/>
            </w:pPr>
            <w:r>
              <w:rPr>
                <w:rFonts w:ascii="Calibri" w:hAnsi="Calibri"/>
                <w:color w:val="1F2937"/>
                <w:sz w:val="16"/>
              </w:rPr>
              <w:t>Create a collect-more-evidence or no-change recommendation.</w:t>
            </w:r>
          </w:p>
        </w:tc>
      </w:tr>
      <w:tr>
        <w:trPr>
          <w:cantSplit/>
        </w:trPr>
        <w:tc>
          <w:tcPr>
            <w:tcW w:type="dxa" w:w="3400"/>
            <w:shd w:fill="F4F7FA"/>
          </w:tcPr>
          <w:p>
            <w:pPr>
              <w:spacing w:after="0"/>
            </w:pPr>
            <w:r>
              <w:rPr>
                <w:rFonts w:ascii="Calibri" w:hAnsi="Calibri"/>
                <w:color w:val="1F2937"/>
                <w:sz w:val="16"/>
              </w:rPr>
              <w:t>Current rule changed after analysis</w:t>
            </w:r>
          </w:p>
        </w:tc>
        <w:tc>
          <w:tcPr>
            <w:tcW w:type="dxa" w:w="5960"/>
            <w:shd w:fill="F4F7FA"/>
          </w:tcPr>
          <w:p>
            <w:pPr>
              <w:spacing w:after="0"/>
            </w:pPr>
            <w:r>
              <w:rPr>
                <w:rFonts w:ascii="Calibri" w:hAnsi="Calibri"/>
                <w:color w:val="1F2937"/>
                <w:sz w:val="16"/>
              </w:rPr>
              <w:t>Mark recommendation STALE; require reanalysis.</w:t>
            </w:r>
          </w:p>
        </w:tc>
      </w:tr>
      <w:tr>
        <w:trPr>
          <w:cantSplit/>
        </w:trPr>
        <w:tc>
          <w:tcPr>
            <w:tcW w:type="dxa" w:w="3400"/>
            <w:shd w:fill="FFFFFF"/>
          </w:tcPr>
          <w:p>
            <w:pPr>
              <w:spacing w:after="0"/>
            </w:pPr>
            <w:r>
              <w:rPr>
                <w:rFonts w:ascii="Calibri" w:hAnsi="Calibri"/>
                <w:color w:val="1F2937"/>
                <w:sz w:val="16"/>
              </w:rPr>
              <w:t>Human approves</w:t>
            </w:r>
          </w:p>
        </w:tc>
        <w:tc>
          <w:tcPr>
            <w:tcW w:type="dxa" w:w="5960"/>
            <w:shd w:fill="FFFFFF"/>
          </w:tcPr>
          <w:p>
            <w:pPr>
              <w:spacing w:after="0"/>
            </w:pPr>
            <w:r>
              <w:rPr>
                <w:rFonts w:ascii="Calibri" w:hAnsi="Calibri"/>
                <w:color w:val="1F2937"/>
                <w:sz w:val="16"/>
              </w:rPr>
              <w:t>Record review_decision and status history; governance owns implementation.</w:t>
            </w:r>
          </w:p>
        </w:tc>
      </w:tr>
      <w:tr>
        <w:trPr>
          <w:cantSplit/>
        </w:trPr>
        <w:tc>
          <w:tcPr>
            <w:tcW w:type="dxa" w:w="3400"/>
            <w:shd w:fill="F4F7FA"/>
          </w:tcPr>
          <w:p>
            <w:pPr>
              <w:spacing w:after="0"/>
            </w:pPr>
            <w:r>
              <w:rPr>
                <w:rFonts w:ascii="Calibri" w:hAnsi="Calibri"/>
                <w:color w:val="1F2937"/>
                <w:sz w:val="16"/>
              </w:rPr>
              <w:t>Human rejects/requests changes</w:t>
            </w:r>
          </w:p>
        </w:tc>
        <w:tc>
          <w:tcPr>
            <w:tcW w:type="dxa" w:w="5960"/>
            <w:shd w:fill="F4F7FA"/>
          </w:tcPr>
          <w:p>
            <w:pPr>
              <w:spacing w:after="0"/>
            </w:pPr>
            <w:r>
              <w:rPr>
                <w:rFonts w:ascii="Calibri" w:hAnsi="Calibri"/>
                <w:color w:val="1F2937"/>
                <w:sz w:val="16"/>
              </w:rPr>
              <w:t>Record reason and preserve immutable history.</w:t>
            </w:r>
          </w:p>
        </w:tc>
      </w:tr>
    </w:tbl>
    <w:p>
      <w:pPr>
        <w:spacing w:after="40"/>
      </w:pPr>
    </w:p>
    <w:p>
      <w:pPr>
        <w:pStyle w:val="Heading2"/>
      </w:pPr>
      <w:r>
        <w:rPr>
          <w:rFonts w:ascii="Calibri" w:hAnsi="Calibri"/>
          <w:color w:val="1F2937"/>
          <w:sz w:val="21"/>
        </w:rPr>
        <w:t>10.3 Human-review experience</w:t>
      </w:r>
    </w:p>
    <w:p>
      <w:pPr>
        <w:numPr>
          <w:ilvl w:val="0"/>
          <w:numId w:val="4"/>
        </w:numPr>
        <w:spacing w:after="60"/>
        <w:ind w:left="403" w:hanging="259"/>
      </w:pPr>
      <w:r>
        <w:rPr>
          <w:rFonts w:ascii="Calibri" w:hAnsi="Calibri"/>
          <w:color w:val="1F2937"/>
          <w:sz w:val="20"/>
        </w:rPr>
        <w:t>Reviewers see the issue, proposed action, evidence strength, periods, metrics, limitations and exact rule/version references.</w:t>
      </w:r>
    </w:p>
    <w:p>
      <w:pPr>
        <w:numPr>
          <w:ilvl w:val="0"/>
          <w:numId w:val="4"/>
        </w:numPr>
        <w:spacing w:after="60"/>
        <w:ind w:left="403" w:hanging="259"/>
      </w:pPr>
      <w:r>
        <w:rPr>
          <w:rFonts w:ascii="Calibri" w:hAnsi="Calibri"/>
          <w:color w:val="1F2937"/>
          <w:sz w:val="20"/>
        </w:rPr>
        <w:t>Every claim can open its evidence artifact and source reference.</w:t>
      </w:r>
    </w:p>
    <w:p>
      <w:pPr>
        <w:numPr>
          <w:ilvl w:val="0"/>
          <w:numId w:val="4"/>
        </w:numPr>
        <w:spacing w:after="60"/>
        <w:ind w:left="403" w:hanging="259"/>
      </w:pPr>
      <w:r>
        <w:rPr>
          <w:rFonts w:ascii="Calibri" w:hAnsi="Calibri"/>
          <w:color w:val="1F2937"/>
          <w:sz w:val="20"/>
        </w:rPr>
        <w:t>A reviewer can approve, reject, acknowledge or request changes.</w:t>
      </w:r>
    </w:p>
    <w:p>
      <w:pPr>
        <w:numPr>
          <w:ilvl w:val="0"/>
          <w:numId w:val="4"/>
        </w:numPr>
        <w:spacing w:after="60"/>
        <w:ind w:left="403" w:hanging="259"/>
      </w:pPr>
      <w:r>
        <w:rPr>
          <w:rFonts w:ascii="Calibri" w:hAnsi="Calibri"/>
          <w:color w:val="1F2937"/>
          <w:sz w:val="20"/>
        </w:rPr>
        <w:t>No review action grants the agent permission to write production rules.</w:t>
      </w:r>
    </w:p>
    <w:p>
      <w:pPr>
        <w:numPr>
          <w:ilvl w:val="0"/>
          <w:numId w:val="4"/>
        </w:numPr>
        <w:spacing w:after="60"/>
        <w:ind w:left="403" w:hanging="259"/>
      </w:pPr>
      <w:r>
        <w:rPr>
          <w:rFonts w:ascii="Calibri" w:hAnsi="Calibri"/>
          <w:color w:val="1F2937"/>
          <w:sz w:val="20"/>
        </w:rPr>
        <w:t>Future UI may expose progress through SSE/WebSocket; recommendations remain available through REST.</w:t>
      </w:r>
    </w:p>
    <w:p>
      <w:pPr>
        <w:pStyle w:val="Heading1"/>
      </w:pPr>
      <w:r>
        <w:rPr>
          <w:rFonts w:ascii="Calibri" w:hAnsi="Calibri"/>
          <w:color w:val="1F2937"/>
          <w:sz w:val="21"/>
        </w:rPr>
        <w:t>11. Database design and table flow</w:t>
      </w:r>
    </w:p>
    <w:p>
      <w:r>
        <w:drawing>
          <wp:inline xmlns:a="http://schemas.openxmlformats.org/drawingml/2006/main" xmlns:pic="http://schemas.openxmlformats.org/drawingml/2006/picture">
            <wp:extent cx="5943600" cy="3896360"/>
            <wp:docPr id="3" name="Picture 3"/>
            <wp:cNvGraphicFramePr>
              <a:graphicFrameLocks noChangeAspect="1"/>
            </wp:cNvGraphicFramePr>
            <a:graphic>
              <a:graphicData uri="http://schemas.openxmlformats.org/drawingml/2006/picture">
                <pic:pic>
                  <pic:nvPicPr>
                    <pic:cNvPr id="0" name="dbflow.png"/>
                    <pic:cNvPicPr/>
                  </pic:nvPicPr>
                  <pic:blipFill>
                    <a:blip r:embed="rId13"/>
                    <a:stretch>
                      <a:fillRect/>
                    </a:stretch>
                  </pic:blipFill>
                  <pic:spPr>
                    <a:xfrm>
                      <a:off x="0" y="0"/>
                      <a:ext cx="5943600" cy="3896360"/>
                    </a:xfrm>
                    <a:prstGeom prst="rect"/>
                  </pic:spPr>
                </pic:pic>
              </a:graphicData>
            </a:graphic>
          </wp:inline>
        </w:drawing>
      </w:r>
    </w:p>
    <w:p>
      <w:pPr>
        <w:spacing w:after="160"/>
        <w:jc w:val="center"/>
      </w:pPr>
      <w:r>
        <w:rPr>
          <w:rFonts w:ascii="Calibri" w:hAnsi="Calibri"/>
          <w:color w:val="5B677A"/>
          <w:sz w:val="17"/>
        </w:rPr>
        <w:t>Figure 3. Authoritative EFRM reads and Agentic Platform persistence</w:t>
      </w:r>
    </w:p>
    <w:p>
      <w:pPr>
        <w:pStyle w:val="Heading2"/>
      </w:pPr>
      <w:r>
        <w:rPr>
          <w:rFonts w:ascii="Calibri" w:hAnsi="Calibri"/>
          <w:color w:val="1F2937"/>
          <w:sz w:val="21"/>
        </w:rPr>
        <w:t>11.1 Physical setup</w:t>
      </w:r>
    </w:p>
    <w:tbl>
      <w:tblPr>
        <w:tblW w:type="dxa" w:w="9360"/>
        <w:jc w:val="left"/>
        <w:tblLayout w:type="fixed"/>
        <w:tblLook w:firstColumn="1" w:firstRow="1" w:lastColumn="0" w:lastRow="0" w:noHBand="0" w:noVBand="1" w:val="04A0"/>
        <w:tblInd w:w="120" w:type="dxa"/>
      </w:tblPr>
      <w:tblGrid>
        <w:gridCol w:w="1800"/>
        <w:gridCol w:w="3800"/>
        <w:gridCol w:w="3760"/>
      </w:tblGrid>
      <w:tr>
        <w:tc>
          <w:tcPr>
            <w:tcW w:type="dxa" w:w="18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Area</w:t>
            </w:r>
          </w:p>
        </w:tc>
        <w:tc>
          <w:tcPr>
            <w:tcW w:type="dxa" w:w="38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Tables / ownership</w:t>
            </w:r>
          </w:p>
        </w:tc>
        <w:tc>
          <w:tcPr>
            <w:tcW w:type="dxa" w:w="37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Purpose</w:t>
            </w:r>
          </w:p>
        </w:tc>
      </w:tr>
      <w:tr>
        <w:trPr>
          <w:cantSplit/>
        </w:trPr>
        <w:tc>
          <w:tcPr>
            <w:tcW w:type="dxa" w:w="1800"/>
            <w:shd w:fill="FFFFFF"/>
          </w:tcPr>
          <w:p>
            <w:pPr>
              <w:spacing w:after="0"/>
            </w:pPr>
            <w:r>
              <w:rPr>
                <w:rFonts w:ascii="Calibri" w:hAnsi="Calibri"/>
                <w:color w:val="1F2937"/>
                <w:sz w:val="16"/>
              </w:rPr>
              <w:t>EFRM operational database</w:t>
            </w:r>
          </w:p>
        </w:tc>
        <w:tc>
          <w:tcPr>
            <w:tcW w:type="dxa" w:w="3800"/>
            <w:shd w:fill="FFFFFF"/>
          </w:tcPr>
          <w:p>
            <w:pPr>
              <w:spacing w:after="0"/>
            </w:pPr>
            <w:r>
              <w:rPr>
                <w:rFonts w:ascii="Calibri" w:hAnsi="Calibri"/>
                <w:color w:val="1F2937"/>
                <w:sz w:val="16"/>
              </w:rPr>
              <w:t>Existing EFRM tables; separate read-only role efrm_agent_read_ro</w:t>
            </w:r>
          </w:p>
        </w:tc>
        <w:tc>
          <w:tcPr>
            <w:tcW w:type="dxa" w:w="3760"/>
            <w:shd w:fill="FFFFFF"/>
          </w:tcPr>
          <w:p>
            <w:pPr>
              <w:spacing w:after="0"/>
            </w:pPr>
            <w:r>
              <w:rPr>
                <w:rFonts w:ascii="Calibri" w:hAnsi="Calibri"/>
                <w:color w:val="1F2937"/>
                <w:sz w:val="16"/>
              </w:rPr>
              <w:t>Authoritative cases, alerts, transactions, devices, matches, rules and decisions.</w:t>
            </w:r>
          </w:p>
        </w:tc>
      </w:tr>
      <w:tr>
        <w:trPr>
          <w:cantSplit/>
        </w:trPr>
        <w:tc>
          <w:tcPr>
            <w:tcW w:type="dxa" w:w="1800"/>
            <w:shd w:fill="F4F7FA"/>
          </w:tcPr>
          <w:p>
            <w:pPr>
              <w:spacing w:after="0"/>
            </w:pPr>
            <w:r>
              <w:rPr>
                <w:rFonts w:ascii="Calibri" w:hAnsi="Calibri"/>
                <w:color w:val="1F2937"/>
                <w:sz w:val="16"/>
              </w:rPr>
              <w:t>Agentic application</w:t>
            </w:r>
          </w:p>
        </w:tc>
        <w:tc>
          <w:tcPr>
            <w:tcW w:type="dxa" w:w="3800"/>
            <w:shd w:fill="F4F7FA"/>
          </w:tcPr>
          <w:p>
            <w:pPr>
              <w:spacing w:after="0"/>
            </w:pPr>
            <w:r>
              <w:rPr>
                <w:rFonts w:ascii="Calibri" w:hAnsi="Calibri"/>
                <w:color w:val="1F2937"/>
                <w:sz w:val="16"/>
              </w:rPr>
              <w:t>agentic schema; 91 application-managed tables</w:t>
            </w:r>
          </w:p>
        </w:tc>
        <w:tc>
          <w:tcPr>
            <w:tcW w:type="dxa" w:w="3760"/>
            <w:shd w:fill="F4F7FA"/>
          </w:tcPr>
          <w:p>
            <w:pPr>
              <w:spacing w:after="0"/>
            </w:pPr>
            <w:r>
              <w:rPr>
                <w:rFonts w:ascii="Calibri" w:hAnsi="Calibri"/>
                <w:color w:val="1F2937"/>
                <w:sz w:val="16"/>
              </w:rPr>
              <w:t>Configuration, jobs, tools, artifacts, evidence, analytics, recommendations, chat and audit.</w:t>
            </w:r>
          </w:p>
        </w:tc>
      </w:tr>
      <w:tr>
        <w:trPr>
          <w:cantSplit/>
        </w:trPr>
        <w:tc>
          <w:tcPr>
            <w:tcW w:type="dxa" w:w="1800"/>
            <w:shd w:fill="FFFFFF"/>
          </w:tcPr>
          <w:p>
            <w:pPr>
              <w:spacing w:after="0"/>
            </w:pPr>
            <w:r>
              <w:rPr>
                <w:rFonts w:ascii="Calibri" w:hAnsi="Calibri"/>
                <w:color w:val="1F2937"/>
                <w:sz w:val="16"/>
              </w:rPr>
              <w:t>LangGraph runtime</w:t>
            </w:r>
          </w:p>
        </w:tc>
        <w:tc>
          <w:tcPr>
            <w:tcW w:type="dxa" w:w="3800"/>
            <w:shd w:fill="FFFFFF"/>
          </w:tcPr>
          <w:p>
            <w:pPr>
              <w:spacing w:after="0"/>
            </w:pPr>
            <w:r>
              <w:rPr>
                <w:rFonts w:ascii="Calibri" w:hAnsi="Calibri"/>
                <w:color w:val="1F2937"/>
                <w:sz w:val="16"/>
              </w:rPr>
              <w:t>langgraph_ckpt schema; 4 runtime-managed tables</w:t>
            </w:r>
          </w:p>
        </w:tc>
        <w:tc>
          <w:tcPr>
            <w:tcW w:type="dxa" w:w="3760"/>
            <w:shd w:fill="FFFFFF"/>
          </w:tcPr>
          <w:p>
            <w:pPr>
              <w:spacing w:after="0"/>
            </w:pPr>
            <w:r>
              <w:rPr>
                <w:rFonts w:ascii="Calibri" w:hAnsi="Calibri"/>
                <w:color w:val="1F2937"/>
                <w:sz w:val="16"/>
              </w:rPr>
              <w:t>Checkpoint persistence owned by installed LangGraph checkpointer.</w:t>
            </w:r>
          </w:p>
        </w:tc>
      </w:tr>
      <w:tr>
        <w:trPr>
          <w:cantSplit/>
        </w:trPr>
        <w:tc>
          <w:tcPr>
            <w:tcW w:type="dxa" w:w="1800"/>
            <w:shd w:fill="F4F7FA"/>
          </w:tcPr>
          <w:p>
            <w:pPr>
              <w:spacing w:after="0"/>
            </w:pPr>
            <w:r>
              <w:rPr>
                <w:rFonts w:ascii="Calibri" w:hAnsi="Calibri"/>
                <w:color w:val="1F2937"/>
                <w:sz w:val="16"/>
              </w:rPr>
              <w:t>Large data</w:t>
            </w:r>
          </w:p>
        </w:tc>
        <w:tc>
          <w:tcPr>
            <w:tcW w:type="dxa" w:w="3800"/>
            <w:shd w:fill="F4F7FA"/>
          </w:tcPr>
          <w:p>
            <w:pPr>
              <w:spacing w:after="0"/>
            </w:pPr>
            <w:r>
              <w:rPr>
                <w:rFonts w:ascii="Calibri" w:hAnsi="Calibri"/>
                <w:color w:val="1F2937"/>
                <w:sz w:val="16"/>
              </w:rPr>
              <w:t>Object storage / analytical file store</w:t>
            </w:r>
          </w:p>
        </w:tc>
        <w:tc>
          <w:tcPr>
            <w:tcW w:type="dxa" w:w="3760"/>
            <w:shd w:fill="F4F7FA"/>
          </w:tcPr>
          <w:p>
            <w:pPr>
              <w:spacing w:after="0"/>
            </w:pPr>
            <w:r>
              <w:rPr>
                <w:rFonts w:ascii="Calibri" w:hAnsi="Calibri"/>
                <w:color w:val="1F2937"/>
                <w:sz w:val="16"/>
              </w:rPr>
              <w:t>Partitioned Parquet snapshots and large artifacts.</w:t>
            </w:r>
          </w:p>
        </w:tc>
      </w:tr>
      <w:tr>
        <w:trPr>
          <w:cantSplit/>
        </w:trPr>
        <w:tc>
          <w:tcPr>
            <w:tcW w:type="dxa" w:w="1800"/>
            <w:shd w:fill="FFFFFF"/>
          </w:tcPr>
          <w:p>
            <w:pPr>
              <w:spacing w:after="0"/>
            </w:pPr>
            <w:r>
              <w:rPr>
                <w:rFonts w:ascii="Calibri" w:hAnsi="Calibri"/>
                <w:color w:val="1F2937"/>
                <w:sz w:val="16"/>
              </w:rPr>
              <w:t>Transfer</w:t>
            </w:r>
          </w:p>
        </w:tc>
        <w:tc>
          <w:tcPr>
            <w:tcW w:type="dxa" w:w="3800"/>
            <w:shd w:fill="FFFFFF"/>
          </w:tcPr>
          <w:p>
            <w:pPr>
              <w:spacing w:after="0"/>
            </w:pPr>
            <w:r>
              <w:rPr>
                <w:rFonts w:ascii="Calibri" w:hAnsi="Calibri"/>
                <w:color w:val="1F2937"/>
                <w:sz w:val="16"/>
              </w:rPr>
              <w:t>SFTP connector where approved</w:t>
            </w:r>
          </w:p>
        </w:tc>
        <w:tc>
          <w:tcPr>
            <w:tcW w:type="dxa" w:w="3760"/>
            <w:shd w:fill="FFFFFF"/>
          </w:tcPr>
          <w:p>
            <w:pPr>
              <w:spacing w:after="0"/>
            </w:pPr>
            <w:r>
              <w:rPr>
                <w:rFonts w:ascii="Calibri" w:hAnsi="Calibri"/>
                <w:color w:val="1F2937"/>
                <w:sz w:val="16"/>
              </w:rPr>
              <w:t>Moves documents/exports; not primary analytical storage.</w:t>
            </w:r>
          </w:p>
        </w:tc>
      </w:tr>
    </w:tbl>
    <w:p>
      <w:pPr>
        <w:spacing w:after="40"/>
      </w:pPr>
    </w:p>
    <w:p>
      <w:pPr>
        <w:pStyle w:val="Heading2"/>
      </w:pPr>
      <w:r>
        <w:rPr>
          <w:rFonts w:ascii="Calibri" w:hAnsi="Calibri"/>
          <w:color w:val="1F2937"/>
          <w:sz w:val="21"/>
        </w:rPr>
        <w:t>11.2 EFRM read flow</w:t>
      </w:r>
    </w:p>
    <w:p>
      <w:pPr>
        <w:spacing w:line="240" w:lineRule="auto"/>
        <w:ind w:left="259"/>
      </w:pPr>
      <w:r>
        <w:rPr>
          <w:rFonts w:ascii="Consolas" w:hAnsi="Consolas"/>
          <w:color w:val="0B2545"/>
          <w:sz w:val="17"/>
        </w:rPr>
        <w:t>case_master → case_alert_mapping → transaction_alert/device_alert</w:t>
        <w:br/>
        <w:t>→ transaction_result/device_result → transaction_match/device_match</w:t>
        <w:br/>
        <w:t>→ transaction_master/device_master → rule_master → rule_version</w:t>
        <w:br/>
        <w:t>→ rule groups/bindings → rule_metric_dependency → metric_definition</w:t>
      </w:r>
    </w:p>
    <w:p>
      <w:r>
        <w:rPr>
          <w:rFonts w:ascii="Calibri" w:hAnsi="Calibri"/>
          <w:color w:val="1F2937"/>
          <w:sz w:val="21"/>
        </w:rPr>
        <w:t>All access is through predefined, parameterized SQL handlers. The optimizer does not assume a service connection to the Case or Alert service. If later integrations are approved, they implement the same tool contracts without changing the graph.</w:t>
      </w:r>
    </w:p>
    <w:p>
      <w:pPr>
        <w:pStyle w:val="Heading2"/>
      </w:pPr>
      <w:r>
        <w:rPr>
          <w:rFonts w:ascii="Calibri" w:hAnsi="Calibri"/>
          <w:color w:val="1F2937"/>
          <w:sz w:val="21"/>
        </w:rPr>
        <w:t>11.3 Agentic write flow</w:t>
      </w:r>
    </w:p>
    <w:p>
      <w:pPr>
        <w:spacing w:line="240" w:lineRule="auto"/>
        <w:ind w:left="259"/>
      </w:pPr>
      <w:r>
        <w:rPr>
          <w:rFonts w:ascii="Consolas" w:hAnsi="Consolas"/>
          <w:color w:val="0B2545"/>
          <w:sz w:val="17"/>
        </w:rPr>
        <w:t>reconciliation_cursor → trigger_inbox → agent_activation/trigger_binding</w:t>
        <w:br/>
        <w:t>→ configuration_snapshot → agent_invocation → graph_run</w:t>
        <w:br/>
        <w:t>→ case_analysis_job → trigger_case_link/case_rule_lineage_item</w:t>
        <w:br/>
        <w:t>→ rule_analysis_run → configuration_bundle/item → snapshot_manifest/artifact_part</w:t>
        <w:br/>
        <w:t>→ data_quality_result → rule_finding_set/finding_metric</w:t>
        <w:br/>
        <w:t>→ strategy_set/strategy_item → model_execution (optional)</w:t>
        <w:br/>
        <w:t>→ claim_record/claim_evidence_link → recommendation → outbox_event</w:t>
        <w:br/>
        <w:t>→ review_decision/recommendation_status_history</w:t>
      </w:r>
    </w:p>
    <w:p>
      <w:pPr>
        <w:pStyle w:val="Heading2"/>
      </w:pPr>
      <w:r>
        <w:rPr>
          <w:rFonts w:ascii="Calibri" w:hAnsi="Calibri"/>
          <w:color w:val="1F2937"/>
          <w:sz w:val="21"/>
        </w:rPr>
        <w:t>11.4 Cross-cutting writes</w:t>
      </w:r>
    </w:p>
    <w:p>
      <w:pPr>
        <w:numPr>
          <w:ilvl w:val="0"/>
          <w:numId w:val="4"/>
        </w:numPr>
        <w:spacing w:after="60"/>
        <w:ind w:left="403" w:hanging="259"/>
      </w:pPr>
      <w:r>
        <w:rPr>
          <w:rFonts w:ascii="Calibri" w:hAnsi="Calibri"/>
          <w:color w:val="1F2937"/>
          <w:sz w:val="20"/>
        </w:rPr>
        <w:t>graph_node_execution records every node attempt, lease, retry and output reference.</w:t>
      </w:r>
    </w:p>
    <w:p>
      <w:pPr>
        <w:numPr>
          <w:ilvl w:val="0"/>
          <w:numId w:val="4"/>
        </w:numPr>
        <w:spacing w:after="60"/>
        <w:ind w:left="403" w:hanging="259"/>
      </w:pPr>
      <w:r>
        <w:rPr>
          <w:rFonts w:ascii="Calibri" w:hAnsi="Calibri"/>
          <w:color w:val="1F2937"/>
          <w:sz w:val="20"/>
        </w:rPr>
        <w:t>tool_execution records every planned, authorized, denied, running, successful or failed tool call.</w:t>
      </w:r>
    </w:p>
    <w:p>
      <w:pPr>
        <w:numPr>
          <w:ilvl w:val="0"/>
          <w:numId w:val="4"/>
        </w:numPr>
        <w:spacing w:after="60"/>
        <w:ind w:left="403" w:hanging="259"/>
      </w:pPr>
      <w:r>
        <w:rPr>
          <w:rFonts w:ascii="Calibri" w:hAnsi="Calibri"/>
          <w:color w:val="1F2937"/>
          <w:sz w:val="20"/>
        </w:rPr>
        <w:t>authorization_decision records deterministic capability decisions.</w:t>
      </w:r>
    </w:p>
    <w:p>
      <w:pPr>
        <w:numPr>
          <w:ilvl w:val="0"/>
          <w:numId w:val="4"/>
        </w:numPr>
        <w:spacing w:after="60"/>
        <w:ind w:left="403" w:hanging="259"/>
      </w:pPr>
      <w:r>
        <w:rPr>
          <w:rFonts w:ascii="Calibri" w:hAnsi="Calibri"/>
          <w:color w:val="1F2937"/>
          <w:sz w:val="20"/>
        </w:rPr>
        <w:t>audit_event and graph_transition provide business and security history.</w:t>
      </w:r>
    </w:p>
    <w:p>
      <w:pPr>
        <w:numPr>
          <w:ilvl w:val="0"/>
          <w:numId w:val="4"/>
        </w:numPr>
        <w:spacing w:after="60"/>
        <w:ind w:left="403" w:hanging="259"/>
      </w:pPr>
      <w:r>
        <w:rPr>
          <w:rFonts w:ascii="Calibri" w:hAnsi="Calibri"/>
          <w:color w:val="1F2937"/>
          <w:sz w:val="20"/>
        </w:rPr>
        <w:t>idempotency_record prevents duplicate jobs and outputs.</w:t>
      </w:r>
    </w:p>
    <w:p>
      <w:pPr>
        <w:numPr>
          <w:ilvl w:val="0"/>
          <w:numId w:val="4"/>
        </w:numPr>
        <w:spacing w:after="60"/>
        <w:ind w:left="403" w:hanging="259"/>
      </w:pPr>
      <w:r>
        <w:rPr>
          <w:rFonts w:ascii="Calibri" w:hAnsi="Calibri"/>
          <w:color w:val="1F2937"/>
          <w:sz w:val="20"/>
        </w:rPr>
        <w:t>dead_letter_item holds items requiring manual recovery.</w:t>
      </w:r>
    </w:p>
    <w:p>
      <w:pPr>
        <w:pStyle w:val="Heading1"/>
      </w:pPr>
      <w:r>
        <w:rPr>
          <w:rFonts w:ascii="Calibri" w:hAnsi="Calibri"/>
          <w:color w:val="1F2937"/>
          <w:sz w:val="21"/>
        </w:rPr>
        <w:t>12. Updated Agentic DB v1.1 alignment</w:t>
      </w:r>
    </w:p>
    <w:p>
      <w:r>
        <w:rPr>
          <w:rFonts w:ascii="Calibri" w:hAnsi="Calibri"/>
          <w:color w:val="1F2937"/>
          <w:sz w:val="21"/>
        </w:rPr>
        <w:t>The updated database is the baseline for this PRD. It resolves the earlier separation, ownership and audit gaps: one efrm_agentic database, agentic application schema, dedicated langgraph_ckpt ownership, configurable tool bindings, outcome mapping, immutable configuration, artifact/evidence chains, recovery state and human review history.</w:t>
      </w:r>
    </w:p>
    <w:p>
      <w:pPr>
        <w:pStyle w:val="Heading2"/>
      </w:pPr>
      <w:r>
        <w:rPr>
          <w:rFonts w:ascii="Calibri" w:hAnsi="Calibri"/>
          <w:color w:val="1F2937"/>
          <w:sz w:val="21"/>
        </w:rPr>
        <w:t>12.1 Key tables used by the Rule Optimizer</w:t>
      </w:r>
    </w:p>
    <w:tbl>
      <w:tblPr>
        <w:tblW w:type="dxa" w:w="9360"/>
        <w:jc w:val="left"/>
        <w:tblLayout w:type="fixed"/>
        <w:tblLook w:firstColumn="1" w:firstRow="1" w:lastColumn="0" w:lastRow="0" w:noHBand="0" w:noVBand="1" w:val="04A0"/>
        <w:tblInd w:w="120" w:type="dxa"/>
      </w:tblPr>
      <w:tblGrid>
        <w:gridCol w:w="1900"/>
        <w:gridCol w:w="4400"/>
        <w:gridCol w:w="3060"/>
      </w:tblGrid>
      <w:tr>
        <w:tc>
          <w:tcPr>
            <w:tcW w:type="dxa" w:w="19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Domain</w:t>
            </w:r>
          </w:p>
        </w:tc>
        <w:tc>
          <w:tcPr>
            <w:tcW w:type="dxa" w:w="44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Tables</w:t>
            </w:r>
          </w:p>
        </w:tc>
        <w:tc>
          <w:tcPr>
            <w:tcW w:type="dxa" w:w="30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How the optimizer uses them</w:t>
            </w:r>
          </w:p>
        </w:tc>
      </w:tr>
      <w:tr>
        <w:trPr>
          <w:cantSplit/>
        </w:trPr>
        <w:tc>
          <w:tcPr>
            <w:tcW w:type="dxa" w:w="1900"/>
            <w:shd w:fill="FFFFFF"/>
          </w:tcPr>
          <w:p>
            <w:pPr>
              <w:spacing w:after="0"/>
            </w:pPr>
            <w:r>
              <w:rPr>
                <w:rFonts w:ascii="Calibri" w:hAnsi="Calibri"/>
                <w:color w:val="1F2937"/>
                <w:sz w:val="15"/>
              </w:rPr>
              <w:t>Routing/configuration</w:t>
            </w:r>
          </w:p>
        </w:tc>
        <w:tc>
          <w:tcPr>
            <w:tcW w:type="dxa" w:w="4400"/>
            <w:shd w:fill="FFFFFF"/>
          </w:tcPr>
          <w:p>
            <w:pPr>
              <w:spacing w:after="0"/>
            </w:pPr>
            <w:r>
              <w:rPr>
                <w:rFonts w:ascii="Calibri" w:hAnsi="Calibri"/>
                <w:color w:val="1F2937"/>
                <w:sz w:val="15"/>
              </w:rPr>
              <w:t>agent_definition, agent_version, agent_activation, workflow_definition, workflow_version, workflow_stage, trigger_binding</w:t>
            </w:r>
          </w:p>
        </w:tc>
        <w:tc>
          <w:tcPr>
            <w:tcW w:type="dxa" w:w="3060"/>
            <w:shd w:fill="FFFFFF"/>
          </w:tcPr>
          <w:p>
            <w:pPr>
              <w:spacing w:after="0"/>
            </w:pPr>
            <w:r>
              <w:rPr>
                <w:rFonts w:ascii="Calibri" w:hAnsi="Calibri"/>
                <w:color w:val="1F2937"/>
                <w:sz w:val="15"/>
              </w:rPr>
              <w:t>Selects active graph and institution configuration.</w:t>
            </w:r>
          </w:p>
        </w:tc>
      </w:tr>
      <w:tr>
        <w:trPr>
          <w:cantSplit/>
        </w:trPr>
        <w:tc>
          <w:tcPr>
            <w:tcW w:type="dxa" w:w="1900"/>
            <w:shd w:fill="F4F7FA"/>
          </w:tcPr>
          <w:p>
            <w:pPr>
              <w:spacing w:after="0"/>
            </w:pPr>
            <w:r>
              <w:rPr>
                <w:rFonts w:ascii="Calibri" w:hAnsi="Calibri"/>
                <w:color w:val="1F2937"/>
                <w:sz w:val="15"/>
              </w:rPr>
              <w:t>Tools</w:t>
            </w:r>
          </w:p>
        </w:tc>
        <w:tc>
          <w:tcPr>
            <w:tcW w:type="dxa" w:w="4400"/>
            <w:shd w:fill="F4F7FA"/>
          </w:tcPr>
          <w:p>
            <w:pPr>
              <w:spacing w:after="0"/>
            </w:pPr>
            <w:r>
              <w:rPr>
                <w:rFonts w:ascii="Calibri" w:hAnsi="Calibri"/>
                <w:color w:val="1F2937"/>
                <w:sz w:val="15"/>
              </w:rPr>
              <w:t>tool_definition, tool_version, agent_tool_binding, workflow_tool_binding, tool_validation_run, tool_capability_requirement, tool_field_rule</w:t>
            </w:r>
          </w:p>
        </w:tc>
        <w:tc>
          <w:tcPr>
            <w:tcW w:type="dxa" w:w="3060"/>
            <w:shd w:fill="F4F7FA"/>
          </w:tcPr>
          <w:p>
            <w:pPr>
              <w:spacing w:after="0"/>
            </w:pPr>
            <w:r>
              <w:rPr>
                <w:rFonts w:ascii="Calibri" w:hAnsi="Calibri"/>
                <w:color w:val="1F2937"/>
                <w:sz w:val="15"/>
              </w:rPr>
              <w:t>Controls available predefined tools and contracts.</w:t>
            </w:r>
          </w:p>
        </w:tc>
      </w:tr>
      <w:tr>
        <w:trPr>
          <w:cantSplit/>
        </w:trPr>
        <w:tc>
          <w:tcPr>
            <w:tcW w:type="dxa" w:w="1900"/>
            <w:shd w:fill="FFFFFF"/>
          </w:tcPr>
          <w:p>
            <w:pPr>
              <w:spacing w:after="0"/>
            </w:pPr>
            <w:r>
              <w:rPr>
                <w:rFonts w:ascii="Calibri" w:hAnsi="Calibri"/>
                <w:color w:val="1F2937"/>
                <w:sz w:val="15"/>
              </w:rPr>
              <w:t>Policies</w:t>
            </w:r>
          </w:p>
        </w:tc>
        <w:tc>
          <w:tcPr>
            <w:tcW w:type="dxa" w:w="4400"/>
            <w:shd w:fill="FFFFFF"/>
          </w:tcPr>
          <w:p>
            <w:pPr>
              <w:spacing w:after="0"/>
            </w:pPr>
            <w:r>
              <w:rPr>
                <w:rFonts w:ascii="Calibri" w:hAnsi="Calibri"/>
                <w:color w:val="1F2937"/>
                <w:sz w:val="15"/>
              </w:rPr>
              <w:t>configuration_definition/version/binding/snapshot/source, feature_flag_definition/assignment, outcome_mapping_set/entry</w:t>
            </w:r>
          </w:p>
        </w:tc>
        <w:tc>
          <w:tcPr>
            <w:tcW w:type="dxa" w:w="3060"/>
            <w:shd w:fill="FFFFFF"/>
          </w:tcPr>
          <w:p>
            <w:pPr>
              <w:spacing w:after="0"/>
            </w:pPr>
            <w:r>
              <w:rPr>
                <w:rFonts w:ascii="Calibri" w:hAnsi="Calibri"/>
                <w:color w:val="1F2937"/>
                <w:sz w:val="15"/>
              </w:rPr>
              <w:t>Freezes policy and decision-code meaning.</w:t>
            </w:r>
          </w:p>
        </w:tc>
      </w:tr>
      <w:tr>
        <w:trPr>
          <w:cantSplit/>
        </w:trPr>
        <w:tc>
          <w:tcPr>
            <w:tcW w:type="dxa" w:w="1900"/>
            <w:shd w:fill="F4F7FA"/>
          </w:tcPr>
          <w:p>
            <w:pPr>
              <w:spacing w:after="0"/>
            </w:pPr>
            <w:r>
              <w:rPr>
                <w:rFonts w:ascii="Calibri" w:hAnsi="Calibri"/>
                <w:color w:val="1F2937"/>
                <w:sz w:val="15"/>
              </w:rPr>
              <w:t>Runtime</w:t>
            </w:r>
          </w:p>
        </w:tc>
        <w:tc>
          <w:tcPr>
            <w:tcW w:type="dxa" w:w="4400"/>
            <w:shd w:fill="F4F7FA"/>
          </w:tcPr>
          <w:p>
            <w:pPr>
              <w:spacing w:after="0"/>
            </w:pPr>
            <w:r>
              <w:rPr>
                <w:rFonts w:ascii="Calibri" w:hAnsi="Calibri"/>
                <w:color w:val="1F2937"/>
                <w:sz w:val="15"/>
              </w:rPr>
              <w:t>trigger_inbox, agent_invocation, graph_run, graph_node_execution, graph_signal, idempotency_record, outbox_event, dead_letter_item, reconciliation_cursor</w:t>
            </w:r>
          </w:p>
        </w:tc>
        <w:tc>
          <w:tcPr>
            <w:tcW w:type="dxa" w:w="3060"/>
            <w:shd w:fill="F4F7FA"/>
          </w:tcPr>
          <w:p>
            <w:pPr>
              <w:spacing w:after="0"/>
            </w:pPr>
            <w:r>
              <w:rPr>
                <w:rFonts w:ascii="Calibri" w:hAnsi="Calibri"/>
                <w:color w:val="1F2937"/>
                <w:sz w:val="15"/>
              </w:rPr>
              <w:t>Makes execution durable, idempotent, recoverable and publishable.</w:t>
            </w:r>
          </w:p>
        </w:tc>
      </w:tr>
      <w:tr>
        <w:trPr>
          <w:cantSplit/>
        </w:trPr>
        <w:tc>
          <w:tcPr>
            <w:tcW w:type="dxa" w:w="1900"/>
            <w:shd w:fill="FFFFFF"/>
          </w:tcPr>
          <w:p>
            <w:pPr>
              <w:spacing w:after="0"/>
            </w:pPr>
            <w:r>
              <w:rPr>
                <w:rFonts w:ascii="Calibri" w:hAnsi="Calibri"/>
                <w:color w:val="1F2937"/>
                <w:sz w:val="15"/>
              </w:rPr>
              <w:t>Optimizer</w:t>
            </w:r>
          </w:p>
        </w:tc>
        <w:tc>
          <w:tcPr>
            <w:tcW w:type="dxa" w:w="4400"/>
            <w:shd w:fill="FFFFFF"/>
          </w:tcPr>
          <w:p>
            <w:pPr>
              <w:spacing w:after="0"/>
            </w:pPr>
            <w:r>
              <w:rPr>
                <w:rFonts w:ascii="Calibri" w:hAnsi="Calibri"/>
                <w:color w:val="1F2937"/>
                <w:sz w:val="15"/>
              </w:rPr>
              <w:t>case_analysis_job, rule_analysis_run, trigger_case_link, case_rule_lineage_item, configuration_bundle/item, snapshot_manifest, data_quality_result, rule_finding_set, finding_metric, strategy_set/item, recommendation, review_decision, recommendation_status_history</w:t>
            </w:r>
          </w:p>
        </w:tc>
        <w:tc>
          <w:tcPr>
            <w:tcW w:type="dxa" w:w="3060"/>
            <w:shd w:fill="FFFFFF"/>
          </w:tcPr>
          <w:p>
            <w:pPr>
              <w:spacing w:after="0"/>
            </w:pPr>
            <w:r>
              <w:rPr>
                <w:rFonts w:ascii="Calibri" w:hAnsi="Calibri"/>
                <w:color w:val="1F2937"/>
                <w:sz w:val="15"/>
              </w:rPr>
              <w:t>Stores the full analytical lifecycle.</w:t>
            </w:r>
          </w:p>
        </w:tc>
      </w:tr>
      <w:tr>
        <w:trPr>
          <w:cantSplit/>
        </w:trPr>
        <w:tc>
          <w:tcPr>
            <w:tcW w:type="dxa" w:w="1900"/>
            <w:shd w:fill="F4F7FA"/>
          </w:tcPr>
          <w:p>
            <w:pPr>
              <w:spacing w:after="0"/>
            </w:pPr>
            <w:r>
              <w:rPr>
                <w:rFonts w:ascii="Calibri" w:hAnsi="Calibri"/>
                <w:color w:val="1F2937"/>
                <w:sz w:val="15"/>
              </w:rPr>
              <w:t>Evidence/audit</w:t>
            </w:r>
          </w:p>
        </w:tc>
        <w:tc>
          <w:tcPr>
            <w:tcW w:type="dxa" w:w="4400"/>
            <w:shd w:fill="F4F7FA"/>
          </w:tcPr>
          <w:p>
            <w:pPr>
              <w:spacing w:after="0"/>
            </w:pPr>
            <w:r>
              <w:rPr>
                <w:rFonts w:ascii="Calibri" w:hAnsi="Calibri"/>
                <w:color w:val="1F2937"/>
                <w:sz w:val="15"/>
              </w:rPr>
              <w:t>artifact, artifact_part, evidence_item, evidence_relation, claim_record, claim_evidence_link, audit_event, authorization_decision, tool_execution, model_execution, graph_transition</w:t>
            </w:r>
          </w:p>
        </w:tc>
        <w:tc>
          <w:tcPr>
            <w:tcW w:type="dxa" w:w="3060"/>
            <w:shd w:fill="F4F7FA"/>
          </w:tcPr>
          <w:p>
            <w:pPr>
              <w:spacing w:after="0"/>
            </w:pPr>
            <w:r>
              <w:rPr>
                <w:rFonts w:ascii="Calibri" w:hAnsi="Calibri"/>
                <w:color w:val="1F2937"/>
                <w:sz w:val="15"/>
              </w:rPr>
              <w:t>Connects every claim to evidence and execution history.</w:t>
            </w:r>
          </w:p>
        </w:tc>
      </w:tr>
      <w:tr>
        <w:trPr>
          <w:cantSplit/>
        </w:trPr>
        <w:tc>
          <w:tcPr>
            <w:tcW w:type="dxa" w:w="1900"/>
            <w:shd w:fill="FFFFFF"/>
          </w:tcPr>
          <w:p>
            <w:pPr>
              <w:spacing w:after="0"/>
            </w:pPr>
            <w:r>
              <w:rPr>
                <w:rFonts w:ascii="Calibri" w:hAnsi="Calibri"/>
                <w:color w:val="1F2937"/>
                <w:sz w:val="15"/>
              </w:rPr>
              <w:t>Checkpoints</w:t>
            </w:r>
          </w:p>
        </w:tc>
        <w:tc>
          <w:tcPr>
            <w:tcW w:type="dxa" w:w="4400"/>
            <w:shd w:fill="FFFFFF"/>
          </w:tcPr>
          <w:p>
            <w:pPr>
              <w:spacing w:after="0"/>
            </w:pPr>
            <w:r>
              <w:rPr>
                <w:rFonts w:ascii="Calibri" w:hAnsi="Calibri"/>
                <w:color w:val="1F2937"/>
                <w:sz w:val="15"/>
              </w:rPr>
              <w:t>langgraph_ckpt.checkpoints, checkpoint_blobs, checkpoint_writes, checkpoint_migrations</w:t>
            </w:r>
          </w:p>
        </w:tc>
        <w:tc>
          <w:tcPr>
            <w:tcW w:type="dxa" w:w="3060"/>
            <w:shd w:fill="FFFFFF"/>
          </w:tcPr>
          <w:p>
            <w:pPr>
              <w:spacing w:after="0"/>
            </w:pPr>
            <w:r>
              <w:rPr>
                <w:rFonts w:ascii="Calibri" w:hAnsi="Calibri"/>
                <w:color w:val="1F2937"/>
                <w:sz w:val="15"/>
              </w:rPr>
              <w:t>Stores graph state only; never the full snapshot.</w:t>
            </w:r>
          </w:p>
        </w:tc>
      </w:tr>
    </w:tbl>
    <w:p>
      <w:pPr>
        <w:spacing w:after="40"/>
      </w:pPr>
    </w:p>
    <w:p>
      <w:r>
        <w:br w:type="page"/>
      </w:r>
    </w:p>
    <w:p>
      <w:pPr>
        <w:pStyle w:val="Heading2"/>
      </w:pPr>
      <w:r>
        <w:rPr>
          <w:rFonts w:ascii="Calibri" w:hAnsi="Calibri"/>
          <w:color w:val="1F2937"/>
          <w:sz w:val="21"/>
        </w:rPr>
        <w:t>12.2 Corrections required before migration sign-off</w:t>
      </w:r>
    </w:p>
    <w:tbl>
      <w:tblPr>
        <w:tblW w:type="dxa" w:w="9360"/>
        <w:jc w:val="left"/>
        <w:tblLayout w:type="fixed"/>
        <w:tblLook w:firstColumn="1" w:firstRow="1" w:lastColumn="0" w:lastRow="0" w:noHBand="0" w:noVBand="1" w:val="04A0"/>
        <w:tblInd w:w="120" w:type="dxa"/>
      </w:tblPr>
      <w:tblGrid>
        <w:gridCol w:w="2000"/>
        <w:gridCol w:w="4300"/>
        <w:gridCol w:w="3060"/>
      </w:tblGrid>
      <w:tr>
        <w:tc>
          <w:tcPr>
            <w:tcW w:type="dxa" w:w="20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Correction</w:t>
            </w:r>
          </w:p>
        </w:tc>
        <w:tc>
          <w:tcPr>
            <w:tcW w:type="dxa" w:w="43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Why it matters</w:t>
            </w:r>
          </w:p>
        </w:tc>
        <w:tc>
          <w:tcPr>
            <w:tcW w:type="dxa" w:w="30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Required action</w:t>
            </w:r>
          </w:p>
        </w:tc>
      </w:tr>
      <w:tr>
        <w:trPr>
          <w:cantSplit/>
        </w:trPr>
        <w:tc>
          <w:tcPr>
            <w:tcW w:type="dxa" w:w="2000"/>
            <w:shd w:fill="FFFFFF"/>
          </w:tcPr>
          <w:p>
            <w:pPr>
              <w:spacing w:after="0"/>
            </w:pPr>
            <w:r>
              <w:rPr>
                <w:rFonts w:ascii="Calibri" w:hAnsi="Calibri"/>
                <w:color w:val="1F2937"/>
                <w:sz w:val="15"/>
              </w:rPr>
              <w:t>Source-aware lineage</w:t>
            </w:r>
          </w:p>
        </w:tc>
        <w:tc>
          <w:tcPr>
            <w:tcW w:type="dxa" w:w="4300"/>
            <w:shd w:fill="FFFFFF"/>
          </w:tcPr>
          <w:p>
            <w:pPr>
              <w:spacing w:after="0"/>
            </w:pPr>
            <w:r>
              <w:rPr>
                <w:rFonts w:ascii="Calibri" w:hAnsi="Calibri"/>
                <w:color w:val="1F2937"/>
                <w:sz w:val="15"/>
              </w:rPr>
              <w:t>Transaction-specific fields do not fully support device/future fact types or duplicate IDs across alert sources.</w:t>
            </w:r>
          </w:p>
        </w:tc>
        <w:tc>
          <w:tcPr>
            <w:tcW w:type="dxa" w:w="3060"/>
            <w:shd w:fill="FFFFFF"/>
          </w:tcPr>
          <w:p>
            <w:pPr>
              <w:spacing w:after="0"/>
            </w:pPr>
            <w:r>
              <w:rPr>
                <w:rFonts w:ascii="Calibri" w:hAnsi="Calibri"/>
                <w:color w:val="1F2937"/>
                <w:sz w:val="15"/>
              </w:rPr>
              <w:t>Add alert_source/alert_type and generic result/fact/match references.</w:t>
            </w:r>
          </w:p>
        </w:tc>
      </w:tr>
      <w:tr>
        <w:trPr>
          <w:cantSplit/>
        </w:trPr>
        <w:tc>
          <w:tcPr>
            <w:tcW w:type="dxa" w:w="2000"/>
            <w:shd w:fill="F4F7FA"/>
          </w:tcPr>
          <w:p>
            <w:pPr>
              <w:spacing w:after="0"/>
            </w:pPr>
            <w:r>
              <w:rPr>
                <w:rFonts w:ascii="Calibri" w:hAnsi="Calibri"/>
                <w:color w:val="1F2937"/>
                <w:sz w:val="15"/>
              </w:rPr>
              <w:t>Multiple rule versions in one case</w:t>
            </w:r>
          </w:p>
        </w:tc>
        <w:tc>
          <w:tcPr>
            <w:tcW w:type="dxa" w:w="4300"/>
            <w:shd w:fill="F4F7FA"/>
          </w:tcPr>
          <w:p>
            <w:pPr>
              <w:spacing w:after="0"/>
            </w:pPr>
            <w:r>
              <w:rPr>
                <w:rFonts w:ascii="Calibri" w:hAnsi="Calibri"/>
                <w:color w:val="1F2937"/>
                <w:sz w:val="15"/>
              </w:rPr>
              <w:t>A case may contain matches for the same logical rule at different versions.</w:t>
            </w:r>
          </w:p>
        </w:tc>
        <w:tc>
          <w:tcPr>
            <w:tcW w:type="dxa" w:w="3060"/>
            <w:shd w:fill="F4F7FA"/>
          </w:tcPr>
          <w:p>
            <w:pPr>
              <w:spacing w:after="0"/>
            </w:pPr>
            <w:r>
              <w:rPr>
                <w:rFonts w:ascii="Calibri" w:hAnsi="Calibri"/>
                <w:color w:val="1F2937"/>
                <w:sz w:val="15"/>
              </w:rPr>
              <w:t>Include historical version/execution key in uniqueness.</w:t>
            </w:r>
          </w:p>
        </w:tc>
      </w:tr>
      <w:tr>
        <w:trPr>
          <w:cantSplit/>
        </w:trPr>
        <w:tc>
          <w:tcPr>
            <w:tcW w:type="dxa" w:w="2000"/>
            <w:shd w:fill="FFFFFF"/>
          </w:tcPr>
          <w:p>
            <w:pPr>
              <w:spacing w:after="0"/>
            </w:pPr>
            <w:r>
              <w:rPr>
                <w:rFonts w:ascii="Calibri" w:hAnsi="Calibri"/>
                <w:color w:val="1F2937"/>
                <w:sz w:val="15"/>
              </w:rPr>
              <w:t>Deleted current rule</w:t>
            </w:r>
          </w:p>
        </w:tc>
        <w:tc>
          <w:tcPr>
            <w:tcW w:type="dxa" w:w="4300"/>
            <w:shd w:fill="FFFFFF"/>
          </w:tcPr>
          <w:p>
            <w:pPr>
              <w:spacing w:after="0"/>
            </w:pPr>
            <w:r>
              <w:rPr>
                <w:rFonts w:ascii="Calibri" w:hAnsi="Calibri"/>
                <w:color w:val="1F2937"/>
                <w:sz w:val="15"/>
              </w:rPr>
              <w:t>A deleted current rule may have no current hash.</w:t>
            </w:r>
          </w:p>
        </w:tc>
        <w:tc>
          <w:tcPr>
            <w:tcW w:type="dxa" w:w="3060"/>
            <w:shd w:fill="FFFFFF"/>
          </w:tcPr>
          <w:p>
            <w:pPr>
              <w:spacing w:after="0"/>
            </w:pPr>
            <w:r>
              <w:rPr>
                <w:rFonts w:ascii="Calibri" w:hAnsi="Calibri"/>
                <w:color w:val="1F2937"/>
                <w:sz w:val="15"/>
              </w:rPr>
              <w:t>Make recommendation.current_rule_hash_at_creation nullable for MISSING/DELETED.</w:t>
            </w:r>
          </w:p>
        </w:tc>
      </w:tr>
      <w:tr>
        <w:trPr>
          <w:cantSplit/>
        </w:trPr>
        <w:tc>
          <w:tcPr>
            <w:tcW w:type="dxa" w:w="2000"/>
            <w:shd w:fill="F4F7FA"/>
          </w:tcPr>
          <w:p>
            <w:pPr>
              <w:spacing w:after="0"/>
            </w:pPr>
            <w:r>
              <w:rPr>
                <w:rFonts w:ascii="Calibri" w:hAnsi="Calibri"/>
                <w:color w:val="1F2937"/>
                <w:sz w:val="15"/>
              </w:rPr>
              <w:t>LLM metadata meaning</w:t>
            </w:r>
          </w:p>
        </w:tc>
        <w:tc>
          <w:tcPr>
            <w:tcW w:type="dxa" w:w="4300"/>
            <w:shd w:fill="F4F7FA"/>
          </w:tcPr>
          <w:p>
            <w:pPr>
              <w:spacing w:after="0"/>
            </w:pPr>
            <w:r>
              <w:rPr>
                <w:rFonts w:ascii="Calibri" w:hAnsi="Calibri"/>
                <w:color w:val="1F2937"/>
                <w:sz w:val="15"/>
              </w:rPr>
              <w:t>Phase 1 strategy selection is deterministic while schema permits LLM-assisted strategy reasoning.</w:t>
            </w:r>
          </w:p>
        </w:tc>
        <w:tc>
          <w:tcPr>
            <w:tcW w:type="dxa" w:w="3060"/>
            <w:shd w:fill="F4F7FA"/>
          </w:tcPr>
          <w:p>
            <w:pPr>
              <w:spacing w:after="0"/>
            </w:pPr>
            <w:r>
              <w:rPr>
                <w:rFonts w:ascii="Calibri" w:hAnsi="Calibri"/>
                <w:color w:val="1F2937"/>
                <w:sz w:val="15"/>
              </w:rPr>
              <w:t>Use DETERMINISTIC_ONLY for strategy; add explanation_mode/model reference.</w:t>
            </w:r>
          </w:p>
        </w:tc>
      </w:tr>
      <w:tr>
        <w:trPr>
          <w:cantSplit/>
        </w:trPr>
        <w:tc>
          <w:tcPr>
            <w:tcW w:type="dxa" w:w="2000"/>
            <w:shd w:fill="FFFFFF"/>
          </w:tcPr>
          <w:p>
            <w:pPr>
              <w:spacing w:after="0"/>
            </w:pPr>
            <w:r>
              <w:rPr>
                <w:rFonts w:ascii="Calibri" w:hAnsi="Calibri"/>
                <w:color w:val="1F2937"/>
                <w:sz w:val="15"/>
              </w:rPr>
              <w:t>Evidence subject dictionary</w:t>
            </w:r>
          </w:p>
        </w:tc>
        <w:tc>
          <w:tcPr>
            <w:tcW w:type="dxa" w:w="4300"/>
            <w:shd w:fill="FFFFFF"/>
          </w:tcPr>
          <w:p>
            <w:pPr>
              <w:spacing w:after="0"/>
            </w:pPr>
            <w:r>
              <w:rPr>
                <w:rFonts w:ascii="Calibri" w:hAnsi="Calibri"/>
                <w:color w:val="1F2937"/>
                <w:sz w:val="15"/>
              </w:rPr>
              <w:t>STRATEGY_ITEM is used but not listed in examples.</w:t>
            </w:r>
          </w:p>
        </w:tc>
        <w:tc>
          <w:tcPr>
            <w:tcW w:type="dxa" w:w="3060"/>
            <w:shd w:fill="FFFFFF"/>
          </w:tcPr>
          <w:p>
            <w:pPr>
              <w:spacing w:after="0"/>
            </w:pPr>
            <w:r>
              <w:rPr>
                <w:rFonts w:ascii="Calibri" w:hAnsi="Calibri"/>
                <w:color w:val="1F2937"/>
                <w:sz w:val="15"/>
              </w:rPr>
              <w:t>Add it to the controlled subject-type dictionary.</w:t>
            </w:r>
          </w:p>
        </w:tc>
      </w:tr>
      <w:tr>
        <w:trPr>
          <w:cantSplit/>
        </w:trPr>
        <w:tc>
          <w:tcPr>
            <w:tcW w:type="dxa" w:w="2000"/>
            <w:shd w:fill="F4F7FA"/>
          </w:tcPr>
          <w:p>
            <w:pPr>
              <w:spacing w:after="0"/>
            </w:pPr>
            <w:r>
              <w:rPr>
                <w:rFonts w:ascii="Calibri" w:hAnsi="Calibri"/>
                <w:color w:val="1F2937"/>
                <w:sz w:val="15"/>
              </w:rPr>
              <w:t>Tool seed data</w:t>
            </w:r>
          </w:p>
        </w:tc>
        <w:tc>
          <w:tcPr>
            <w:tcW w:type="dxa" w:w="4300"/>
            <w:shd w:fill="F4F7FA"/>
          </w:tcPr>
          <w:p>
            <w:pPr>
              <w:spacing w:after="0"/>
            </w:pPr>
            <w:r>
              <w:rPr>
                <w:rFonts w:ascii="Calibri" w:hAnsi="Calibri"/>
                <w:color w:val="1F2937"/>
                <w:sz w:val="15"/>
              </w:rPr>
              <w:t>A schema without bindings cannot run the graph.</w:t>
            </w:r>
          </w:p>
        </w:tc>
        <w:tc>
          <w:tcPr>
            <w:tcW w:type="dxa" w:w="3060"/>
            <w:shd w:fill="F4F7FA"/>
          </w:tcPr>
          <w:p>
            <w:pPr>
              <w:spacing w:after="0"/>
            </w:pPr>
            <w:r>
              <w:rPr>
                <w:rFonts w:ascii="Calibri" w:hAnsi="Calibri"/>
                <w:color w:val="1F2937"/>
                <w:sz w:val="15"/>
              </w:rPr>
              <w:t>Seed all Rule Optimizer tools, stages, versions, policies and bindings.</w:t>
            </w:r>
          </w:p>
        </w:tc>
      </w:tr>
    </w:tbl>
    <w:p>
      <w:pPr>
        <w:spacing w:after="40"/>
      </w:pPr>
    </w:p>
    <w:p>
      <w:pPr>
        <w:pStyle w:val="Heading1"/>
      </w:pPr>
      <w:r>
        <w:rPr>
          <w:rFonts w:ascii="Calibri" w:hAnsi="Calibri"/>
          <w:color w:val="1F2937"/>
          <w:sz w:val="21"/>
        </w:rPr>
        <w:t>13. APIs and service contracts</w:t>
      </w:r>
    </w:p>
    <w:p>
      <w:pPr>
        <w:pStyle w:val="Heading2"/>
      </w:pPr>
      <w:r>
        <w:rPr>
          <w:rFonts w:ascii="Calibri" w:hAnsi="Calibri"/>
          <w:color w:val="1F2937"/>
          <w:sz w:val="21"/>
        </w:rPr>
        <w:t>13.1 Control-plane APIs</w:t>
      </w:r>
    </w:p>
    <w:tbl>
      <w:tblPr>
        <w:tblW w:type="dxa" w:w="9360"/>
        <w:jc w:val="left"/>
        <w:tblLayout w:type="fixed"/>
        <w:tblLook w:firstColumn="1" w:firstRow="1" w:lastColumn="0" w:lastRow="0" w:noHBand="0" w:noVBand="1" w:val="04A0"/>
        <w:tblInd w:w="120" w:type="dxa"/>
      </w:tblPr>
      <w:tblGrid>
        <w:gridCol w:w="2600"/>
        <w:gridCol w:w="4650"/>
        <w:gridCol w:w="2110"/>
      </w:tblGrid>
      <w:tr>
        <w:tc>
          <w:tcPr>
            <w:tcW w:type="dxa" w:w="26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Endpoint</w:t>
            </w:r>
          </w:p>
        </w:tc>
        <w:tc>
          <w:tcPr>
            <w:tcW w:type="dxa" w:w="465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Purpose</w:t>
            </w:r>
          </w:p>
        </w:tc>
        <w:tc>
          <w:tcPr>
            <w:tcW w:type="dxa" w:w="211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Authorization</w:t>
            </w:r>
          </w:p>
        </w:tc>
      </w:tr>
      <w:tr>
        <w:trPr>
          <w:cantSplit/>
        </w:trPr>
        <w:tc>
          <w:tcPr>
            <w:tcW w:type="dxa" w:w="2600"/>
            <w:shd w:fill="FFFFFF"/>
          </w:tcPr>
          <w:p>
            <w:pPr>
              <w:spacing w:after="0"/>
            </w:pPr>
            <w:r>
              <w:rPr>
                <w:rFonts w:ascii="Calibri" w:hAnsi="Calibri"/>
                <w:color w:val="1F2937"/>
                <w:sz w:val="16"/>
              </w:rPr>
              <w:t>POST /v1/rule-optimizer/jobs</w:t>
            </w:r>
          </w:p>
        </w:tc>
        <w:tc>
          <w:tcPr>
            <w:tcW w:type="dxa" w:w="4650"/>
            <w:shd w:fill="FFFFFF"/>
          </w:tcPr>
          <w:p>
            <w:pPr>
              <w:spacing w:after="0"/>
            </w:pPr>
            <w:r>
              <w:rPr>
                <w:rFonts w:ascii="Calibri" w:hAnsi="Calibri"/>
                <w:color w:val="1F2937"/>
                <w:sz w:val="16"/>
              </w:rPr>
              <w:t>Start authorized analysis/reanalysis or accept normalized trigger.</w:t>
            </w:r>
          </w:p>
        </w:tc>
        <w:tc>
          <w:tcPr>
            <w:tcW w:type="dxa" w:w="2110"/>
            <w:shd w:fill="FFFFFF"/>
          </w:tcPr>
          <w:p>
            <w:pPr>
              <w:spacing w:after="0"/>
            </w:pPr>
            <w:r>
              <w:rPr>
                <w:rFonts w:ascii="Calibri" w:hAnsi="Calibri"/>
                <w:color w:val="1F2937"/>
                <w:sz w:val="16"/>
              </w:rPr>
              <w:t>Service/admin capability; institution from trusted context.</w:t>
            </w:r>
          </w:p>
        </w:tc>
      </w:tr>
      <w:tr>
        <w:trPr>
          <w:cantSplit/>
        </w:trPr>
        <w:tc>
          <w:tcPr>
            <w:tcW w:type="dxa" w:w="2600"/>
            <w:shd w:fill="F4F7FA"/>
          </w:tcPr>
          <w:p>
            <w:pPr>
              <w:spacing w:after="0"/>
            </w:pPr>
            <w:r>
              <w:rPr>
                <w:rFonts w:ascii="Calibri" w:hAnsi="Calibri"/>
                <w:color w:val="1F2937"/>
                <w:sz w:val="16"/>
              </w:rPr>
              <w:t>GET /v1/rule-optimizer/jobs/{job_id}</w:t>
            </w:r>
          </w:p>
        </w:tc>
        <w:tc>
          <w:tcPr>
            <w:tcW w:type="dxa" w:w="4650"/>
            <w:shd w:fill="F4F7FA"/>
          </w:tcPr>
          <w:p>
            <w:pPr>
              <w:spacing w:after="0"/>
            </w:pPr>
            <w:r>
              <w:rPr>
                <w:rFonts w:ascii="Calibri" w:hAnsi="Calibri"/>
                <w:color w:val="1F2937"/>
                <w:sz w:val="16"/>
              </w:rPr>
              <w:t>Return status, node progress, limitations and recommendation IDs.</w:t>
            </w:r>
          </w:p>
        </w:tc>
        <w:tc>
          <w:tcPr>
            <w:tcW w:type="dxa" w:w="2110"/>
            <w:shd w:fill="F4F7FA"/>
          </w:tcPr>
          <w:p>
            <w:pPr>
              <w:spacing w:after="0"/>
            </w:pPr>
            <w:r>
              <w:rPr>
                <w:rFonts w:ascii="Calibri" w:hAnsi="Calibri"/>
                <w:color w:val="1F2937"/>
                <w:sz w:val="16"/>
              </w:rPr>
              <w:t>Same-institution read access.</w:t>
            </w:r>
          </w:p>
        </w:tc>
      </w:tr>
      <w:tr>
        <w:trPr>
          <w:cantSplit/>
        </w:trPr>
        <w:tc>
          <w:tcPr>
            <w:tcW w:type="dxa" w:w="2600"/>
            <w:shd w:fill="FFFFFF"/>
          </w:tcPr>
          <w:p>
            <w:pPr>
              <w:spacing w:after="0"/>
            </w:pPr>
            <w:r>
              <w:rPr>
                <w:rFonts w:ascii="Calibri" w:hAnsi="Calibri"/>
                <w:color w:val="1F2937"/>
                <w:sz w:val="16"/>
              </w:rPr>
              <w:t>GET /v1/rule-optimizer/recommendations/{id}</w:t>
            </w:r>
          </w:p>
        </w:tc>
        <w:tc>
          <w:tcPr>
            <w:tcW w:type="dxa" w:w="4650"/>
            <w:shd w:fill="FFFFFF"/>
          </w:tcPr>
          <w:p>
            <w:pPr>
              <w:spacing w:after="0"/>
            </w:pPr>
            <w:r>
              <w:rPr>
                <w:rFonts w:ascii="Calibri" w:hAnsi="Calibri"/>
                <w:color w:val="1F2937"/>
                <w:sz w:val="16"/>
              </w:rPr>
              <w:t>Return canonical recommendation, evidence summary and stale state.</w:t>
            </w:r>
          </w:p>
        </w:tc>
        <w:tc>
          <w:tcPr>
            <w:tcW w:type="dxa" w:w="2110"/>
            <w:shd w:fill="FFFFFF"/>
          </w:tcPr>
          <w:p>
            <w:pPr>
              <w:spacing w:after="0"/>
            </w:pPr>
            <w:r>
              <w:rPr>
                <w:rFonts w:ascii="Calibri" w:hAnsi="Calibri"/>
                <w:color w:val="1F2937"/>
                <w:sz w:val="16"/>
              </w:rPr>
              <w:t>Reviewer capability.</w:t>
            </w:r>
          </w:p>
        </w:tc>
      </w:tr>
      <w:tr>
        <w:trPr>
          <w:cantSplit/>
        </w:trPr>
        <w:tc>
          <w:tcPr>
            <w:tcW w:type="dxa" w:w="2600"/>
            <w:shd w:fill="F4F7FA"/>
          </w:tcPr>
          <w:p>
            <w:pPr>
              <w:spacing w:after="0"/>
            </w:pPr>
            <w:r>
              <w:rPr>
                <w:rFonts w:ascii="Calibri" w:hAnsi="Calibri"/>
                <w:color w:val="1F2937"/>
                <w:sz w:val="16"/>
              </w:rPr>
              <w:t>POST /v1/rule-optimizer/recommendations/{id}/review</w:t>
            </w:r>
          </w:p>
        </w:tc>
        <w:tc>
          <w:tcPr>
            <w:tcW w:type="dxa" w:w="4650"/>
            <w:shd w:fill="F4F7FA"/>
          </w:tcPr>
          <w:p>
            <w:pPr>
              <w:spacing w:after="0"/>
            </w:pPr>
            <w:r>
              <w:rPr>
                <w:rFonts w:ascii="Calibri" w:hAnsi="Calibri"/>
                <w:color w:val="1F2937"/>
                <w:sz w:val="16"/>
              </w:rPr>
              <w:t>Append human review decision and governance reference.</w:t>
            </w:r>
          </w:p>
        </w:tc>
        <w:tc>
          <w:tcPr>
            <w:tcW w:type="dxa" w:w="2110"/>
            <w:shd w:fill="F4F7FA"/>
          </w:tcPr>
          <w:p>
            <w:pPr>
              <w:spacing w:after="0"/>
            </w:pPr>
            <w:r>
              <w:rPr>
                <w:rFonts w:ascii="Calibri" w:hAnsi="Calibri"/>
                <w:color w:val="1F2937"/>
                <w:sz w:val="16"/>
              </w:rPr>
              <w:t>Approved reviewer; idempotency key required.</w:t>
            </w:r>
          </w:p>
        </w:tc>
      </w:tr>
      <w:tr>
        <w:trPr>
          <w:cantSplit/>
        </w:trPr>
        <w:tc>
          <w:tcPr>
            <w:tcW w:type="dxa" w:w="2600"/>
            <w:shd w:fill="FFFFFF"/>
          </w:tcPr>
          <w:p>
            <w:pPr>
              <w:spacing w:after="0"/>
            </w:pPr>
            <w:r>
              <w:rPr>
                <w:rFonts w:ascii="Calibri" w:hAnsi="Calibri"/>
                <w:color w:val="1F2937"/>
                <w:sz w:val="16"/>
              </w:rPr>
              <w:t>POST /v1/rule-optimizer/jobs/{id}/cancel</w:t>
            </w:r>
          </w:p>
        </w:tc>
        <w:tc>
          <w:tcPr>
            <w:tcW w:type="dxa" w:w="4650"/>
            <w:shd w:fill="FFFFFF"/>
          </w:tcPr>
          <w:p>
            <w:pPr>
              <w:spacing w:after="0"/>
            </w:pPr>
            <w:r>
              <w:rPr>
                <w:rFonts w:ascii="Calibri" w:hAnsi="Calibri"/>
                <w:color w:val="1F2937"/>
                <w:sz w:val="16"/>
              </w:rPr>
              <w:t>Request cancellation through graph_signal.</w:t>
            </w:r>
          </w:p>
        </w:tc>
        <w:tc>
          <w:tcPr>
            <w:tcW w:type="dxa" w:w="2110"/>
            <w:shd w:fill="FFFFFF"/>
          </w:tcPr>
          <w:p>
            <w:pPr>
              <w:spacing w:after="0"/>
            </w:pPr>
            <w:r>
              <w:rPr>
                <w:rFonts w:ascii="Calibri" w:hAnsi="Calibri"/>
                <w:color w:val="1F2937"/>
                <w:sz w:val="16"/>
              </w:rPr>
              <w:t>Job owner/admin.</w:t>
            </w:r>
          </w:p>
        </w:tc>
      </w:tr>
      <w:tr>
        <w:trPr>
          <w:cantSplit/>
        </w:trPr>
        <w:tc>
          <w:tcPr>
            <w:tcW w:type="dxa" w:w="2600"/>
            <w:shd w:fill="F4F7FA"/>
          </w:tcPr>
          <w:p>
            <w:pPr>
              <w:spacing w:after="0"/>
            </w:pPr>
            <w:r>
              <w:rPr>
                <w:rFonts w:ascii="Calibri" w:hAnsi="Calibri"/>
                <w:color w:val="1F2937"/>
                <w:sz w:val="16"/>
              </w:rPr>
              <w:t>GET /health/live and /health/ready</w:t>
            </w:r>
          </w:p>
        </w:tc>
        <w:tc>
          <w:tcPr>
            <w:tcW w:type="dxa" w:w="4650"/>
            <w:shd w:fill="F4F7FA"/>
          </w:tcPr>
          <w:p>
            <w:pPr>
              <w:spacing w:after="0"/>
            </w:pPr>
            <w:r>
              <w:rPr>
                <w:rFonts w:ascii="Calibri" w:hAnsi="Calibri"/>
                <w:color w:val="1F2937"/>
                <w:sz w:val="16"/>
              </w:rPr>
              <w:t>Service and dependency health.</w:t>
            </w:r>
          </w:p>
        </w:tc>
        <w:tc>
          <w:tcPr>
            <w:tcW w:type="dxa" w:w="2110"/>
            <w:shd w:fill="F4F7FA"/>
          </w:tcPr>
          <w:p>
            <w:pPr>
              <w:spacing w:after="0"/>
            </w:pPr>
            <w:r>
              <w:rPr>
                <w:rFonts w:ascii="Calibri" w:hAnsi="Calibri"/>
                <w:color w:val="1F2937"/>
                <w:sz w:val="16"/>
              </w:rPr>
              <w:t>Platform health access.</w:t>
            </w:r>
          </w:p>
        </w:tc>
      </w:tr>
    </w:tbl>
    <w:p>
      <w:pPr>
        <w:spacing w:after="40"/>
      </w:pPr>
    </w:p>
    <w:p>
      <w:pPr>
        <w:pStyle w:val="Heading2"/>
      </w:pPr>
      <w:r>
        <w:rPr>
          <w:rFonts w:ascii="Calibri" w:hAnsi="Calibri"/>
          <w:color w:val="1F2937"/>
          <w:sz w:val="21"/>
        </w:rPr>
        <w:t>13.2 Internal tool contract rules</w:t>
      </w:r>
    </w:p>
    <w:p>
      <w:pPr>
        <w:numPr>
          <w:ilvl w:val="0"/>
          <w:numId w:val="4"/>
        </w:numPr>
        <w:spacing w:after="60"/>
        <w:ind w:left="403" w:hanging="259"/>
      </w:pPr>
      <w:r>
        <w:rPr>
          <w:rFonts w:ascii="Calibri" w:hAnsi="Calibri"/>
          <w:color w:val="1F2937"/>
          <w:sz w:val="20"/>
        </w:rPr>
        <w:t>Input and output are JSON-schema validated before handler execution.</w:t>
      </w:r>
    </w:p>
    <w:p>
      <w:pPr>
        <w:numPr>
          <w:ilvl w:val="0"/>
          <w:numId w:val="4"/>
        </w:numPr>
        <w:spacing w:after="60"/>
        <w:ind w:left="403" w:hanging="259"/>
      </w:pPr>
      <w:r>
        <w:rPr>
          <w:rFonts w:ascii="Calibri" w:hAnsi="Calibri"/>
          <w:color w:val="1F2937"/>
          <w:sz w:val="20"/>
        </w:rPr>
        <w:t>Tool arguments are built by Python graph code; model output cannot set institution_id or bypass scope.</w:t>
      </w:r>
    </w:p>
    <w:p>
      <w:pPr>
        <w:numPr>
          <w:ilvl w:val="0"/>
          <w:numId w:val="4"/>
        </w:numPr>
        <w:spacing w:after="60"/>
        <w:ind w:left="403" w:hanging="259"/>
      </w:pPr>
      <w:r>
        <w:rPr>
          <w:rFonts w:ascii="Calibri" w:hAnsi="Calibri"/>
          <w:color w:val="1F2937"/>
          <w:sz w:val="20"/>
        </w:rPr>
        <w:t>Handlers receive trusted institution, correlation ID, deadline, policy snapshot and read-only connection.</w:t>
      </w:r>
    </w:p>
    <w:p>
      <w:pPr>
        <w:numPr>
          <w:ilvl w:val="0"/>
          <w:numId w:val="4"/>
        </w:numPr>
        <w:spacing w:after="60"/>
        <w:ind w:left="403" w:hanging="259"/>
      </w:pPr>
      <w:r>
        <w:rPr>
          <w:rFonts w:ascii="Calibri" w:hAnsi="Calibri"/>
          <w:color w:val="1F2937"/>
          <w:sz w:val="20"/>
        </w:rPr>
        <w:t>Result artifacts are content-addressed with SHA-256 hashes.</w:t>
      </w:r>
    </w:p>
    <w:p>
      <w:pPr>
        <w:numPr>
          <w:ilvl w:val="0"/>
          <w:numId w:val="4"/>
        </w:numPr>
        <w:spacing w:after="60"/>
        <w:ind w:left="403" w:hanging="259"/>
      </w:pPr>
      <w:r>
        <w:rPr>
          <w:rFonts w:ascii="Calibri" w:hAnsi="Calibri"/>
          <w:color w:val="1F2937"/>
          <w:sz w:val="20"/>
        </w:rPr>
        <w:t>Large results are returned by artifact reference, not embedded in graph state.</w:t>
      </w:r>
    </w:p>
    <w:p>
      <w:pPr>
        <w:numPr>
          <w:ilvl w:val="0"/>
          <w:numId w:val="4"/>
        </w:numPr>
        <w:spacing w:after="60"/>
        <w:ind w:left="403" w:hanging="259"/>
      </w:pPr>
      <w:r>
        <w:rPr>
          <w:rFonts w:ascii="Calibri" w:hAnsi="Calibri"/>
          <w:color w:val="1F2937"/>
          <w:sz w:val="20"/>
        </w:rPr>
        <w:t>Timeouts, retryability, result bytes and classification come from tool_version.</w:t>
      </w:r>
    </w:p>
    <w:p>
      <w:r>
        <w:br w:type="page"/>
      </w:r>
    </w:p>
    <w:p>
      <w:pPr>
        <w:pStyle w:val="Heading1"/>
      </w:pPr>
      <w:r>
        <w:rPr>
          <w:rFonts w:ascii="Calibri" w:hAnsi="Calibri"/>
          <w:color w:val="1F2937"/>
          <w:sz w:val="21"/>
        </w:rPr>
        <w:t>14. Non-functional requirements</w:t>
      </w:r>
    </w:p>
    <w:tbl>
      <w:tblPr>
        <w:tblW w:type="dxa" w:w="9360"/>
        <w:jc w:val="left"/>
        <w:tblLayout w:type="fixed"/>
        <w:tblLook w:firstColumn="1" w:firstRow="1" w:lastColumn="0" w:lastRow="0" w:noHBand="0" w:noVBand="1" w:val="04A0"/>
        <w:tblInd w:w="120" w:type="dxa"/>
      </w:tblPr>
      <w:tblGrid>
        <w:gridCol w:w="1700"/>
        <w:gridCol w:w="5000"/>
        <w:gridCol w:w="2660"/>
      </w:tblGrid>
      <w:tr>
        <w:tc>
          <w:tcPr>
            <w:tcW w:type="dxa" w:w="17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Area</w:t>
            </w:r>
          </w:p>
        </w:tc>
        <w:tc>
          <w:tcPr>
            <w:tcW w:type="dxa" w:w="50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Requirement</w:t>
            </w:r>
          </w:p>
        </w:tc>
        <w:tc>
          <w:tcPr>
            <w:tcW w:type="dxa" w:w="26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Acceptance measure</w:t>
            </w:r>
          </w:p>
        </w:tc>
      </w:tr>
      <w:tr>
        <w:trPr>
          <w:cantSplit/>
        </w:trPr>
        <w:tc>
          <w:tcPr>
            <w:tcW w:type="dxa" w:w="1700"/>
            <w:shd w:fill="FFFFFF"/>
          </w:tcPr>
          <w:p>
            <w:pPr>
              <w:spacing w:after="0"/>
            </w:pPr>
            <w:r>
              <w:rPr>
                <w:rFonts w:ascii="Calibri" w:hAnsi="Calibri"/>
                <w:color w:val="1F2937"/>
                <w:sz w:val="15"/>
              </w:rPr>
              <w:t>Tenant isolation</w:t>
            </w:r>
          </w:p>
        </w:tc>
        <w:tc>
          <w:tcPr>
            <w:tcW w:type="dxa" w:w="5000"/>
            <w:shd w:fill="FFFFFF"/>
          </w:tcPr>
          <w:p>
            <w:pPr>
              <w:spacing w:after="0"/>
            </w:pPr>
            <w:r>
              <w:rPr>
                <w:rFonts w:ascii="Calibri" w:hAnsi="Calibri"/>
                <w:color w:val="1F2937"/>
                <w:sz w:val="15"/>
              </w:rPr>
              <w:t>Every institution-owned row has institution_id; RLS and tenant-consistent composite FKs are enforced.</w:t>
            </w:r>
          </w:p>
        </w:tc>
        <w:tc>
          <w:tcPr>
            <w:tcW w:type="dxa" w:w="2660"/>
            <w:shd w:fill="FFFFFF"/>
          </w:tcPr>
          <w:p>
            <w:pPr>
              <w:spacing w:after="0"/>
            </w:pPr>
            <w:r>
              <w:rPr>
                <w:rFonts w:ascii="Calibri" w:hAnsi="Calibri"/>
                <w:color w:val="1F2937"/>
                <w:sz w:val="15"/>
              </w:rPr>
              <w:t>Cross-tenant tests return zero rows and audit DENY.</w:t>
            </w:r>
          </w:p>
        </w:tc>
      </w:tr>
      <w:tr>
        <w:trPr>
          <w:cantSplit/>
        </w:trPr>
        <w:tc>
          <w:tcPr>
            <w:tcW w:type="dxa" w:w="1700"/>
            <w:shd w:fill="F4F7FA"/>
          </w:tcPr>
          <w:p>
            <w:pPr>
              <w:spacing w:after="0"/>
            </w:pPr>
            <w:r>
              <w:rPr>
                <w:rFonts w:ascii="Calibri" w:hAnsi="Calibri"/>
                <w:color w:val="1F2937"/>
                <w:sz w:val="15"/>
              </w:rPr>
              <w:t>Security</w:t>
            </w:r>
          </w:p>
        </w:tc>
        <w:tc>
          <w:tcPr>
            <w:tcW w:type="dxa" w:w="5000"/>
            <w:shd w:fill="F4F7FA"/>
          </w:tcPr>
          <w:p>
            <w:pPr>
              <w:spacing w:after="0"/>
            </w:pPr>
            <w:r>
              <w:rPr>
                <w:rFonts w:ascii="Calibri" w:hAnsi="Calibri"/>
                <w:color w:val="1F2937"/>
                <w:sz w:val="15"/>
              </w:rPr>
              <w:t>EFRM uses efrm_agent_read_ro; least privilege; no BYPASSRLS/SUPERUSER.</w:t>
            </w:r>
          </w:p>
        </w:tc>
        <w:tc>
          <w:tcPr>
            <w:tcW w:type="dxa" w:w="2660"/>
            <w:shd w:fill="F4F7FA"/>
          </w:tcPr>
          <w:p>
            <w:pPr>
              <w:spacing w:after="0"/>
            </w:pPr>
            <w:r>
              <w:rPr>
                <w:rFonts w:ascii="Calibri" w:hAnsi="Calibri"/>
                <w:color w:val="1F2937"/>
                <w:sz w:val="15"/>
              </w:rPr>
              <w:t>Role/grant review and negative authorization tests pass.</w:t>
            </w:r>
          </w:p>
        </w:tc>
      </w:tr>
      <w:tr>
        <w:trPr>
          <w:cantSplit/>
        </w:trPr>
        <w:tc>
          <w:tcPr>
            <w:tcW w:type="dxa" w:w="1700"/>
            <w:shd w:fill="FFFFFF"/>
          </w:tcPr>
          <w:p>
            <w:pPr>
              <w:spacing w:after="0"/>
            </w:pPr>
            <w:r>
              <w:rPr>
                <w:rFonts w:ascii="Calibri" w:hAnsi="Calibri"/>
                <w:color w:val="1F2937"/>
                <w:sz w:val="15"/>
              </w:rPr>
              <w:t>Reliability</w:t>
            </w:r>
          </w:p>
        </w:tc>
        <w:tc>
          <w:tcPr>
            <w:tcW w:type="dxa" w:w="5000"/>
            <w:shd w:fill="FFFFFF"/>
          </w:tcPr>
          <w:p>
            <w:pPr>
              <w:spacing w:after="0"/>
            </w:pPr>
            <w:r>
              <w:rPr>
                <w:rFonts w:ascii="Calibri" w:hAnsi="Calibri"/>
                <w:color w:val="1F2937"/>
                <w:sz w:val="15"/>
              </w:rPr>
              <w:t>Jobs are durable, leased, idempotent, checkpointed and recoverable.</w:t>
            </w:r>
          </w:p>
        </w:tc>
        <w:tc>
          <w:tcPr>
            <w:tcW w:type="dxa" w:w="2660"/>
            <w:shd w:fill="FFFFFF"/>
          </w:tcPr>
          <w:p>
            <w:pPr>
              <w:spacing w:after="0"/>
            </w:pPr>
            <w:r>
              <w:rPr>
                <w:rFonts w:ascii="Calibri" w:hAnsi="Calibri"/>
                <w:color w:val="1F2937"/>
                <w:sz w:val="15"/>
              </w:rPr>
              <w:t>Worker failure resumes without duplicate recommendation.</w:t>
            </w:r>
          </w:p>
        </w:tc>
      </w:tr>
      <w:tr>
        <w:trPr>
          <w:cantSplit/>
        </w:trPr>
        <w:tc>
          <w:tcPr>
            <w:tcW w:type="dxa" w:w="1700"/>
            <w:shd w:fill="F4F7FA"/>
          </w:tcPr>
          <w:p>
            <w:pPr>
              <w:spacing w:after="0"/>
            </w:pPr>
            <w:r>
              <w:rPr>
                <w:rFonts w:ascii="Calibri" w:hAnsi="Calibri"/>
                <w:color w:val="1F2937"/>
                <w:sz w:val="15"/>
              </w:rPr>
              <w:t>Data integrity</w:t>
            </w:r>
          </w:p>
        </w:tc>
        <w:tc>
          <w:tcPr>
            <w:tcW w:type="dxa" w:w="5000"/>
            <w:shd w:fill="F4F7FA"/>
          </w:tcPr>
          <w:p>
            <w:pPr>
              <w:spacing w:after="0"/>
            </w:pPr>
            <w:r>
              <w:rPr>
                <w:rFonts w:ascii="Calibri" w:hAnsi="Calibri"/>
                <w:color w:val="1F2937"/>
                <w:sz w:val="15"/>
              </w:rPr>
              <w:t>Snapshots, configs, findings and recommendations are hash-linked and versioned.</w:t>
            </w:r>
          </w:p>
        </w:tc>
        <w:tc>
          <w:tcPr>
            <w:tcW w:type="dxa" w:w="2660"/>
            <w:shd w:fill="F4F7FA"/>
          </w:tcPr>
          <w:p>
            <w:pPr>
              <w:spacing w:after="0"/>
            </w:pPr>
            <w:r>
              <w:rPr>
                <w:rFonts w:ascii="Calibri" w:hAnsi="Calibri"/>
                <w:color w:val="1F2937"/>
                <w:sz w:val="15"/>
              </w:rPr>
              <w:t>Same cutoff reproduces manifest and metric hashes.</w:t>
            </w:r>
          </w:p>
        </w:tc>
      </w:tr>
      <w:tr>
        <w:trPr>
          <w:cantSplit/>
        </w:trPr>
        <w:tc>
          <w:tcPr>
            <w:tcW w:type="dxa" w:w="1700"/>
            <w:shd w:fill="FFFFFF"/>
          </w:tcPr>
          <w:p>
            <w:pPr>
              <w:spacing w:after="0"/>
            </w:pPr>
            <w:r>
              <w:rPr>
                <w:rFonts w:ascii="Calibri" w:hAnsi="Calibri"/>
                <w:color w:val="1F2937"/>
                <w:sz w:val="15"/>
              </w:rPr>
              <w:t>Performance</w:t>
            </w:r>
          </w:p>
        </w:tc>
        <w:tc>
          <w:tcPr>
            <w:tcW w:type="dxa" w:w="5000"/>
            <w:shd w:fill="FFFFFF"/>
          </w:tcPr>
          <w:p>
            <w:pPr>
              <w:spacing w:after="0"/>
            </w:pPr>
            <w:r>
              <w:rPr>
                <w:rFonts w:ascii="Calibri" w:hAnsi="Calibri"/>
                <w:color w:val="1F2937"/>
                <w:sz w:val="15"/>
              </w:rPr>
              <w:t>Queries are bounded by institution/window/rule; large data is partitioned/aggregated.</w:t>
            </w:r>
          </w:p>
        </w:tc>
        <w:tc>
          <w:tcPr>
            <w:tcW w:type="dxa" w:w="2660"/>
            <w:shd w:fill="FFFFFF"/>
          </w:tcPr>
          <w:p>
            <w:pPr>
              <w:spacing w:after="0"/>
            </w:pPr>
            <w:r>
              <w:rPr>
                <w:rFonts w:ascii="Calibri" w:hAnsi="Calibri"/>
                <w:color w:val="1F2937"/>
                <w:sz w:val="15"/>
              </w:rPr>
              <w:t>Load tests use later production-like volume assumptions.</w:t>
            </w:r>
          </w:p>
        </w:tc>
      </w:tr>
      <w:tr>
        <w:trPr>
          <w:cantSplit/>
        </w:trPr>
        <w:tc>
          <w:tcPr>
            <w:tcW w:type="dxa" w:w="1700"/>
            <w:shd w:fill="F4F7FA"/>
          </w:tcPr>
          <w:p>
            <w:pPr>
              <w:spacing w:after="0"/>
            </w:pPr>
            <w:r>
              <w:rPr>
                <w:rFonts w:ascii="Calibri" w:hAnsi="Calibri"/>
                <w:color w:val="1F2937"/>
                <w:sz w:val="15"/>
              </w:rPr>
              <w:t>Freshness</w:t>
            </w:r>
          </w:p>
        </w:tc>
        <w:tc>
          <w:tcPr>
            <w:tcW w:type="dxa" w:w="5000"/>
            <w:shd w:fill="F4F7FA"/>
          </w:tcPr>
          <w:p>
            <w:pPr>
              <w:spacing w:after="0"/>
            </w:pPr>
            <w:r>
              <w:rPr>
                <w:rFonts w:ascii="Calibri" w:hAnsi="Calibri"/>
                <w:color w:val="1F2937"/>
                <w:sz w:val="15"/>
              </w:rPr>
              <w:t>Recommendations become stale when rule hash or source data changes.</w:t>
            </w:r>
          </w:p>
        </w:tc>
        <w:tc>
          <w:tcPr>
            <w:tcW w:type="dxa" w:w="2660"/>
            <w:shd w:fill="F4F7FA"/>
          </w:tcPr>
          <w:p>
            <w:pPr>
              <w:spacing w:after="0"/>
            </w:pPr>
            <w:r>
              <w:rPr>
                <w:rFonts w:ascii="Calibri" w:hAnsi="Calibri"/>
                <w:color w:val="1F2937"/>
                <w:sz w:val="15"/>
              </w:rPr>
              <w:t>Stale check prevents obsolete review.</w:t>
            </w:r>
          </w:p>
        </w:tc>
      </w:tr>
      <w:tr>
        <w:trPr>
          <w:cantSplit/>
        </w:trPr>
        <w:tc>
          <w:tcPr>
            <w:tcW w:type="dxa" w:w="1700"/>
            <w:shd w:fill="FFFFFF"/>
          </w:tcPr>
          <w:p>
            <w:pPr>
              <w:spacing w:after="0"/>
            </w:pPr>
            <w:r>
              <w:rPr>
                <w:rFonts w:ascii="Calibri" w:hAnsi="Calibri"/>
                <w:color w:val="1F2937"/>
                <w:sz w:val="15"/>
              </w:rPr>
              <w:t>Observability</w:t>
            </w:r>
          </w:p>
        </w:tc>
        <w:tc>
          <w:tcPr>
            <w:tcW w:type="dxa" w:w="5000"/>
            <w:shd w:fill="FFFFFF"/>
          </w:tcPr>
          <w:p>
            <w:pPr>
              <w:spacing w:after="0"/>
            </w:pPr>
            <w:r>
              <w:rPr>
                <w:rFonts w:ascii="Calibri" w:hAnsi="Calibri"/>
                <w:color w:val="1F2937"/>
                <w:sz w:val="15"/>
              </w:rPr>
              <w:t>Metrics, logs, traces and audit cover every node/tool/model call.</w:t>
            </w:r>
          </w:p>
        </w:tc>
        <w:tc>
          <w:tcPr>
            <w:tcW w:type="dxa" w:w="2660"/>
            <w:shd w:fill="FFFFFF"/>
          </w:tcPr>
          <w:p>
            <w:pPr>
              <w:spacing w:after="0"/>
            </w:pPr>
            <w:r>
              <w:rPr>
                <w:rFonts w:ascii="Calibri" w:hAnsi="Calibri"/>
                <w:color w:val="1F2937"/>
                <w:sz w:val="15"/>
              </w:rPr>
              <w:t>Dashboards alert on queue lag, DQ, retries and validation failures.</w:t>
            </w:r>
          </w:p>
        </w:tc>
      </w:tr>
      <w:tr>
        <w:trPr>
          <w:cantSplit/>
        </w:trPr>
        <w:tc>
          <w:tcPr>
            <w:tcW w:type="dxa" w:w="1700"/>
            <w:shd w:fill="F4F7FA"/>
          </w:tcPr>
          <w:p>
            <w:pPr>
              <w:spacing w:after="0"/>
            </w:pPr>
            <w:r>
              <w:rPr>
                <w:rFonts w:ascii="Calibri" w:hAnsi="Calibri"/>
                <w:color w:val="1F2937"/>
                <w:sz w:val="15"/>
              </w:rPr>
              <w:t>Privacy</w:t>
            </w:r>
          </w:p>
        </w:tc>
        <w:tc>
          <w:tcPr>
            <w:tcW w:type="dxa" w:w="5000"/>
            <w:shd w:fill="F4F7FA"/>
          </w:tcPr>
          <w:p>
            <w:pPr>
              <w:spacing w:after="0"/>
            </w:pPr>
            <w:r>
              <w:rPr>
                <w:rFonts w:ascii="Calibri" w:hAnsi="Calibri"/>
                <w:color w:val="1F2937"/>
                <w:sz w:val="15"/>
              </w:rPr>
              <w:t>LLM egress disabled by default; masking/classification apply.</w:t>
            </w:r>
          </w:p>
        </w:tc>
        <w:tc>
          <w:tcPr>
            <w:tcW w:type="dxa" w:w="2660"/>
            <w:shd w:fill="F4F7FA"/>
          </w:tcPr>
          <w:p>
            <w:pPr>
              <w:spacing w:after="0"/>
            </w:pPr>
            <w:r>
              <w:rPr>
                <w:rFonts w:ascii="Calibri" w:hAnsi="Calibri"/>
                <w:color w:val="1F2937"/>
                <w:sz w:val="15"/>
              </w:rPr>
              <w:t>Restricted raw transaction data does not leave boundary.</w:t>
            </w:r>
          </w:p>
        </w:tc>
      </w:tr>
      <w:tr>
        <w:trPr>
          <w:cantSplit/>
        </w:trPr>
        <w:tc>
          <w:tcPr>
            <w:tcW w:type="dxa" w:w="1700"/>
            <w:shd w:fill="FFFFFF"/>
          </w:tcPr>
          <w:p>
            <w:pPr>
              <w:spacing w:after="0"/>
            </w:pPr>
            <w:r>
              <w:rPr>
                <w:rFonts w:ascii="Calibri" w:hAnsi="Calibri"/>
                <w:color w:val="1F2937"/>
                <w:sz w:val="15"/>
              </w:rPr>
              <w:t>Retention</w:t>
            </w:r>
          </w:p>
        </w:tc>
        <w:tc>
          <w:tcPr>
            <w:tcW w:type="dxa" w:w="5000"/>
            <w:shd w:fill="FFFFFF"/>
          </w:tcPr>
          <w:p>
            <w:pPr>
              <w:spacing w:after="0"/>
            </w:pPr>
            <w:r>
              <w:rPr>
                <w:rFonts w:ascii="Calibri" w:hAnsi="Calibri"/>
                <w:color w:val="1F2937"/>
                <w:sz w:val="15"/>
              </w:rPr>
              <w:t>Retention is configurable and respects legal hold.</w:t>
            </w:r>
          </w:p>
        </w:tc>
        <w:tc>
          <w:tcPr>
            <w:tcW w:type="dxa" w:w="2660"/>
            <w:shd w:fill="FFFFFF"/>
          </w:tcPr>
          <w:p>
            <w:pPr>
              <w:spacing w:after="0"/>
            </w:pPr>
            <w:r>
              <w:rPr>
                <w:rFonts w:ascii="Calibri" w:hAnsi="Calibri"/>
                <w:color w:val="1F2937"/>
                <w:sz w:val="15"/>
              </w:rPr>
              <w:t>Expiry never deletes held/evidence-linked artifacts.</w:t>
            </w:r>
          </w:p>
        </w:tc>
      </w:tr>
    </w:tbl>
    <w:p>
      <w:pPr>
        <w:spacing w:after="40"/>
      </w:pPr>
    </w:p>
    <w:p>
      <w:pPr>
        <w:pStyle w:val="Heading2"/>
      </w:pPr>
      <w:r>
        <w:rPr>
          <w:rFonts w:ascii="Calibri" w:hAnsi="Calibri"/>
          <w:color w:val="1F2937"/>
          <w:sz w:val="21"/>
        </w:rPr>
        <w:t>14.1 Error and retry policy</w:t>
      </w:r>
    </w:p>
    <w:tbl>
      <w:tblPr>
        <w:tblW w:type="dxa" w:w="9360"/>
        <w:jc w:val="left"/>
        <w:tblLayout w:type="fixed"/>
        <w:tblLook w:firstColumn="1" w:firstRow="1" w:lastColumn="0" w:lastRow="0" w:noHBand="0" w:noVBand="1" w:val="04A0"/>
        <w:tblInd w:w="120" w:type="dxa"/>
      </w:tblPr>
      <w:tblGrid>
        <w:gridCol w:w="2200"/>
        <w:gridCol w:w="4850"/>
        <w:gridCol w:w="2310"/>
      </w:tblGrid>
      <w:tr>
        <w:tc>
          <w:tcPr>
            <w:tcW w:type="dxa" w:w="22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Failure</w:t>
            </w:r>
          </w:p>
        </w:tc>
        <w:tc>
          <w:tcPr>
            <w:tcW w:type="dxa" w:w="485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Action</w:t>
            </w:r>
          </w:p>
        </w:tc>
        <w:tc>
          <w:tcPr>
            <w:tcW w:type="dxa" w:w="231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Terminal record</w:t>
            </w:r>
          </w:p>
        </w:tc>
      </w:tr>
      <w:tr>
        <w:trPr>
          <w:cantSplit/>
        </w:trPr>
        <w:tc>
          <w:tcPr>
            <w:tcW w:type="dxa" w:w="2200"/>
            <w:shd w:fill="FFFFFF"/>
          </w:tcPr>
          <w:p>
            <w:pPr>
              <w:spacing w:after="0"/>
            </w:pPr>
            <w:r>
              <w:rPr>
                <w:rFonts w:ascii="Calibri" w:hAnsi="Calibri"/>
                <w:color w:val="1F2937"/>
                <w:sz w:val="15"/>
              </w:rPr>
              <w:t>Transient EFRM/database timeout</w:t>
            </w:r>
          </w:p>
        </w:tc>
        <w:tc>
          <w:tcPr>
            <w:tcW w:type="dxa" w:w="4850"/>
            <w:shd w:fill="FFFFFF"/>
          </w:tcPr>
          <w:p>
            <w:pPr>
              <w:spacing w:after="0"/>
            </w:pPr>
            <w:r>
              <w:rPr>
                <w:rFonts w:ascii="Calibri" w:hAnsi="Calibri"/>
                <w:color w:val="1F2937"/>
                <w:sz w:val="15"/>
              </w:rPr>
              <w:t>Retry with bounded backoff; do not advance cursor until success.</w:t>
            </w:r>
          </w:p>
        </w:tc>
        <w:tc>
          <w:tcPr>
            <w:tcW w:type="dxa" w:w="2310"/>
            <w:shd w:fill="FFFFFF"/>
          </w:tcPr>
          <w:p>
            <w:pPr>
              <w:spacing w:after="0"/>
            </w:pPr>
            <w:r>
              <w:rPr>
                <w:rFonts w:ascii="Calibri" w:hAnsi="Calibri"/>
                <w:color w:val="1F2937"/>
                <w:sz w:val="15"/>
              </w:rPr>
              <w:t>tool_execution + audit_event</w:t>
            </w:r>
          </w:p>
        </w:tc>
      </w:tr>
      <w:tr>
        <w:trPr>
          <w:cantSplit/>
        </w:trPr>
        <w:tc>
          <w:tcPr>
            <w:tcW w:type="dxa" w:w="2200"/>
            <w:shd w:fill="F4F7FA"/>
          </w:tcPr>
          <w:p>
            <w:pPr>
              <w:spacing w:after="0"/>
            </w:pPr>
            <w:r>
              <w:rPr>
                <w:rFonts w:ascii="Calibri" w:hAnsi="Calibri"/>
                <w:color w:val="1F2937"/>
                <w:sz w:val="15"/>
              </w:rPr>
              <w:t>Invalid SQL result/schema</w:t>
            </w:r>
          </w:p>
        </w:tc>
        <w:tc>
          <w:tcPr>
            <w:tcW w:type="dxa" w:w="4850"/>
            <w:shd w:fill="F4F7FA"/>
          </w:tcPr>
          <w:p>
            <w:pPr>
              <w:spacing w:after="0"/>
            </w:pPr>
            <w:r>
              <w:rPr>
                <w:rFonts w:ascii="Calibri" w:hAnsi="Calibri"/>
                <w:color w:val="1F2937"/>
                <w:sz w:val="15"/>
              </w:rPr>
              <w:t>Stop node; quarantine tool version; alert owner.</w:t>
            </w:r>
          </w:p>
        </w:tc>
        <w:tc>
          <w:tcPr>
            <w:tcW w:type="dxa" w:w="2310"/>
            <w:shd w:fill="F4F7FA"/>
          </w:tcPr>
          <w:p>
            <w:pPr>
              <w:spacing w:after="0"/>
            </w:pPr>
            <w:r>
              <w:rPr>
                <w:rFonts w:ascii="Calibri" w:hAnsi="Calibri"/>
                <w:color w:val="1F2937"/>
                <w:sz w:val="15"/>
              </w:rPr>
              <w:t>tool_validation_run / dead_letter_item</w:t>
            </w:r>
          </w:p>
        </w:tc>
      </w:tr>
      <w:tr>
        <w:trPr>
          <w:cantSplit/>
        </w:trPr>
        <w:tc>
          <w:tcPr>
            <w:tcW w:type="dxa" w:w="2200"/>
            <w:shd w:fill="FFFFFF"/>
          </w:tcPr>
          <w:p>
            <w:pPr>
              <w:spacing w:after="0"/>
            </w:pPr>
            <w:r>
              <w:rPr>
                <w:rFonts w:ascii="Calibri" w:hAnsi="Calibri"/>
                <w:color w:val="1F2937"/>
                <w:sz w:val="15"/>
              </w:rPr>
              <w:t>Missing/ambiguous historical rule</w:t>
            </w:r>
          </w:p>
        </w:tc>
        <w:tc>
          <w:tcPr>
            <w:tcW w:type="dxa" w:w="4850"/>
            <w:shd w:fill="FFFFFF"/>
          </w:tcPr>
          <w:p>
            <w:pPr>
              <w:spacing w:after="0"/>
            </w:pPr>
            <w:r>
              <w:rPr>
                <w:rFonts w:ascii="Calibri" w:hAnsi="Calibri"/>
                <w:color w:val="1F2937"/>
                <w:sz w:val="15"/>
              </w:rPr>
              <w:t>Mark bundle partial/ambiguous and stop unsupported claims.</w:t>
            </w:r>
          </w:p>
        </w:tc>
        <w:tc>
          <w:tcPr>
            <w:tcW w:type="dxa" w:w="2310"/>
            <w:shd w:fill="FFFFFF"/>
          </w:tcPr>
          <w:p>
            <w:pPr>
              <w:spacing w:after="0"/>
            </w:pPr>
            <w:r>
              <w:rPr>
                <w:rFonts w:ascii="Calibri" w:hAnsi="Calibri"/>
                <w:color w:val="1F2937"/>
                <w:sz w:val="15"/>
              </w:rPr>
              <w:t>configuration_bundle/item + limitation</w:t>
            </w:r>
          </w:p>
        </w:tc>
      </w:tr>
      <w:tr>
        <w:trPr>
          <w:cantSplit/>
        </w:trPr>
        <w:tc>
          <w:tcPr>
            <w:tcW w:type="dxa" w:w="2200"/>
            <w:shd w:fill="F4F7FA"/>
          </w:tcPr>
          <w:p>
            <w:pPr>
              <w:spacing w:after="0"/>
            </w:pPr>
            <w:r>
              <w:rPr>
                <w:rFonts w:ascii="Calibri" w:hAnsi="Calibri"/>
                <w:color w:val="1F2937"/>
                <w:sz w:val="15"/>
              </w:rPr>
              <w:t>Snapshot too large</w:t>
            </w:r>
          </w:p>
        </w:tc>
        <w:tc>
          <w:tcPr>
            <w:tcW w:type="dxa" w:w="4850"/>
            <w:shd w:fill="F4F7FA"/>
          </w:tcPr>
          <w:p>
            <w:pPr>
              <w:spacing w:after="0"/>
            </w:pPr>
            <w:r>
              <w:rPr>
                <w:rFonts w:ascii="Calibri" w:hAnsi="Calibri"/>
                <w:color w:val="1F2937"/>
                <w:sz w:val="15"/>
              </w:rPr>
              <w:t>Reduce by partition/page limits or stop with capacity limitation.</w:t>
            </w:r>
          </w:p>
        </w:tc>
        <w:tc>
          <w:tcPr>
            <w:tcW w:type="dxa" w:w="2310"/>
            <w:shd w:fill="F4F7FA"/>
          </w:tcPr>
          <w:p>
            <w:pPr>
              <w:spacing w:after="0"/>
            </w:pPr>
            <w:r>
              <w:rPr>
                <w:rFonts w:ascii="Calibri" w:hAnsi="Calibri"/>
                <w:color w:val="1F2937"/>
                <w:sz w:val="15"/>
              </w:rPr>
              <w:t>snapshot_manifest + data_quality_result</w:t>
            </w:r>
          </w:p>
        </w:tc>
      </w:tr>
      <w:tr>
        <w:trPr>
          <w:cantSplit/>
        </w:trPr>
        <w:tc>
          <w:tcPr>
            <w:tcW w:type="dxa" w:w="2200"/>
            <w:shd w:fill="FFFFFF"/>
          </w:tcPr>
          <w:p>
            <w:pPr>
              <w:spacing w:after="0"/>
            </w:pPr>
            <w:r>
              <w:rPr>
                <w:rFonts w:ascii="Calibri" w:hAnsi="Calibri"/>
                <w:color w:val="1F2937"/>
                <w:sz w:val="15"/>
              </w:rPr>
              <w:t>LLM timeout/provider failure</w:t>
            </w:r>
          </w:p>
        </w:tc>
        <w:tc>
          <w:tcPr>
            <w:tcW w:type="dxa" w:w="4850"/>
            <w:shd w:fill="FFFFFF"/>
          </w:tcPr>
          <w:p>
            <w:pPr>
              <w:spacing w:after="0"/>
            </w:pPr>
            <w:r>
              <w:rPr>
                <w:rFonts w:ascii="Calibri" w:hAnsi="Calibri"/>
                <w:color w:val="1F2937"/>
                <w:sz w:val="15"/>
              </w:rPr>
              <w:t>Retry only within policy; use deterministic explanation.</w:t>
            </w:r>
          </w:p>
        </w:tc>
        <w:tc>
          <w:tcPr>
            <w:tcW w:type="dxa" w:w="2310"/>
            <w:shd w:fill="FFFFFF"/>
          </w:tcPr>
          <w:p>
            <w:pPr>
              <w:spacing w:after="0"/>
            </w:pPr>
            <w:r>
              <w:rPr>
                <w:rFonts w:ascii="Calibri" w:hAnsi="Calibri"/>
                <w:color w:val="1F2937"/>
                <w:sz w:val="15"/>
              </w:rPr>
              <w:t>model_execution with fallback_used</w:t>
            </w:r>
          </w:p>
        </w:tc>
      </w:tr>
      <w:tr>
        <w:trPr>
          <w:cantSplit/>
        </w:trPr>
        <w:tc>
          <w:tcPr>
            <w:tcW w:type="dxa" w:w="2200"/>
            <w:shd w:fill="F4F7FA"/>
          </w:tcPr>
          <w:p>
            <w:pPr>
              <w:spacing w:after="0"/>
            </w:pPr>
            <w:r>
              <w:rPr>
                <w:rFonts w:ascii="Calibri" w:hAnsi="Calibri"/>
                <w:color w:val="1F2937"/>
                <w:sz w:val="15"/>
              </w:rPr>
              <w:t>Recommendation validation failure</w:t>
            </w:r>
          </w:p>
        </w:tc>
        <w:tc>
          <w:tcPr>
            <w:tcW w:type="dxa" w:w="4850"/>
            <w:shd w:fill="F4F7FA"/>
          </w:tcPr>
          <w:p>
            <w:pPr>
              <w:spacing w:after="0"/>
            </w:pPr>
            <w:r>
              <w:rPr>
                <w:rFonts w:ascii="Calibri" w:hAnsi="Calibri"/>
                <w:color w:val="1F2937"/>
                <w:sz w:val="15"/>
              </w:rPr>
              <w:t>Do not publish; retain draft and validation reason.</w:t>
            </w:r>
          </w:p>
        </w:tc>
        <w:tc>
          <w:tcPr>
            <w:tcW w:type="dxa" w:w="2310"/>
            <w:shd w:fill="F4F7FA"/>
          </w:tcPr>
          <w:p>
            <w:pPr>
              <w:spacing w:after="0"/>
            </w:pPr>
            <w:r>
              <w:rPr>
                <w:rFonts w:ascii="Calibri" w:hAnsi="Calibri"/>
                <w:color w:val="1F2937"/>
                <w:sz w:val="15"/>
              </w:rPr>
              <w:t>recommendation status / graph failure</w:t>
            </w:r>
          </w:p>
        </w:tc>
      </w:tr>
      <w:tr>
        <w:trPr>
          <w:cantSplit/>
        </w:trPr>
        <w:tc>
          <w:tcPr>
            <w:tcW w:type="dxa" w:w="2200"/>
            <w:shd w:fill="FFFFFF"/>
          </w:tcPr>
          <w:p>
            <w:pPr>
              <w:spacing w:after="0"/>
            </w:pPr>
            <w:r>
              <w:rPr>
                <w:rFonts w:ascii="Calibri" w:hAnsi="Calibri"/>
                <w:color w:val="1F2937"/>
                <w:sz w:val="15"/>
              </w:rPr>
              <w:t>Worker crash/lease expiry</w:t>
            </w:r>
          </w:p>
        </w:tc>
        <w:tc>
          <w:tcPr>
            <w:tcW w:type="dxa" w:w="4850"/>
            <w:shd w:fill="FFFFFF"/>
          </w:tcPr>
          <w:p>
            <w:pPr>
              <w:spacing w:after="0"/>
            </w:pPr>
            <w:r>
              <w:rPr>
                <w:rFonts w:ascii="Calibri" w:hAnsi="Calibri"/>
                <w:color w:val="1F2937"/>
                <w:sz w:val="15"/>
              </w:rPr>
              <w:t>Recover graph from checkpoint and node idempotency key.</w:t>
            </w:r>
          </w:p>
        </w:tc>
        <w:tc>
          <w:tcPr>
            <w:tcW w:type="dxa" w:w="2310"/>
            <w:shd w:fill="FFFFFF"/>
          </w:tcPr>
          <w:p>
            <w:pPr>
              <w:spacing w:after="0"/>
            </w:pPr>
            <w:r>
              <w:rPr>
                <w:rFonts w:ascii="Calibri" w:hAnsi="Calibri"/>
                <w:color w:val="1F2937"/>
                <w:sz w:val="15"/>
              </w:rPr>
              <w:t>graph_run + graph_node_execution</w:t>
            </w:r>
          </w:p>
        </w:tc>
      </w:tr>
      <w:tr>
        <w:trPr>
          <w:cantSplit/>
        </w:trPr>
        <w:tc>
          <w:tcPr>
            <w:tcW w:type="dxa" w:w="2200"/>
            <w:shd w:fill="F4F7FA"/>
          </w:tcPr>
          <w:p>
            <w:pPr>
              <w:spacing w:after="0"/>
            </w:pPr>
            <w:r>
              <w:rPr>
                <w:rFonts w:ascii="Calibri" w:hAnsi="Calibri"/>
                <w:color w:val="1F2937"/>
                <w:sz w:val="15"/>
              </w:rPr>
              <w:t>Repeated failure</w:t>
            </w:r>
          </w:p>
        </w:tc>
        <w:tc>
          <w:tcPr>
            <w:tcW w:type="dxa" w:w="4850"/>
            <w:shd w:fill="F4F7FA"/>
          </w:tcPr>
          <w:p>
            <w:pPr>
              <w:spacing w:after="0"/>
            </w:pPr>
            <w:r>
              <w:rPr>
                <w:rFonts w:ascii="Calibri" w:hAnsi="Calibri"/>
                <w:color w:val="1F2937"/>
                <w:sz w:val="15"/>
              </w:rPr>
              <w:t>Move to dead-letter queue for manual recovery.</w:t>
            </w:r>
          </w:p>
        </w:tc>
        <w:tc>
          <w:tcPr>
            <w:tcW w:type="dxa" w:w="2310"/>
            <w:shd w:fill="F4F7FA"/>
          </w:tcPr>
          <w:p>
            <w:pPr>
              <w:spacing w:after="0"/>
            </w:pPr>
            <w:r>
              <w:rPr>
                <w:rFonts w:ascii="Calibri" w:hAnsi="Calibri"/>
                <w:color w:val="1F2937"/>
                <w:sz w:val="15"/>
              </w:rPr>
              <w:t>dead_letter_item</w:t>
            </w:r>
          </w:p>
        </w:tc>
      </w:tr>
    </w:tbl>
    <w:p>
      <w:pPr>
        <w:spacing w:after="40"/>
      </w:pPr>
    </w:p>
    <w:p>
      <w:pPr>
        <w:pStyle w:val="Heading2"/>
      </w:pPr>
      <w:r>
        <w:rPr>
          <w:rFonts w:ascii="Calibri" w:hAnsi="Calibri"/>
          <w:color w:val="1F2937"/>
          <w:sz w:val="21"/>
        </w:rPr>
        <w:t>14.2 Audit minimum</w:t>
      </w:r>
    </w:p>
    <w:p>
      <w:pPr>
        <w:numPr>
          <w:ilvl w:val="0"/>
          <w:numId w:val="4"/>
        </w:numPr>
        <w:spacing w:after="60"/>
        <w:ind w:left="403" w:hanging="259"/>
      </w:pPr>
      <w:r>
        <w:rPr>
          <w:rFonts w:ascii="Calibri" w:hAnsi="Calibri"/>
          <w:color w:val="1F2937"/>
          <w:sz w:val="20"/>
        </w:rPr>
        <w:t>Correlation ID from trigger through recommendation.</w:t>
      </w:r>
    </w:p>
    <w:p>
      <w:pPr>
        <w:numPr>
          <w:ilvl w:val="0"/>
          <w:numId w:val="4"/>
        </w:numPr>
        <w:spacing w:after="60"/>
        <w:ind w:left="403" w:hanging="259"/>
      </w:pPr>
      <w:r>
        <w:rPr>
          <w:rFonts w:ascii="Calibri" w:hAnsi="Calibri"/>
          <w:color w:val="1F2937"/>
          <w:sz w:val="20"/>
        </w:rPr>
        <w:t>Actor identity for poller, service, worker, tool and reviewer.</w:t>
      </w:r>
    </w:p>
    <w:p>
      <w:pPr>
        <w:numPr>
          <w:ilvl w:val="0"/>
          <w:numId w:val="4"/>
        </w:numPr>
        <w:spacing w:after="60"/>
        <w:ind w:left="403" w:hanging="259"/>
      </w:pPr>
      <w:r>
        <w:rPr>
          <w:rFonts w:ascii="Calibri" w:hAnsi="Calibri"/>
          <w:color w:val="1F2937"/>
          <w:sz w:val="20"/>
        </w:rPr>
        <w:t>Agent/workflow/tool/model versions and configuration snapshot hash.</w:t>
      </w:r>
    </w:p>
    <w:p>
      <w:pPr>
        <w:numPr>
          <w:ilvl w:val="0"/>
          <w:numId w:val="4"/>
        </w:numPr>
        <w:spacing w:after="60"/>
        <w:ind w:left="403" w:hanging="259"/>
      </w:pPr>
      <w:r>
        <w:rPr>
          <w:rFonts w:ascii="Calibri" w:hAnsi="Calibri"/>
          <w:color w:val="1F2937"/>
          <w:sz w:val="20"/>
        </w:rPr>
        <w:t>Input/output artifact hashes and source watermarks.</w:t>
      </w:r>
    </w:p>
    <w:p>
      <w:pPr>
        <w:numPr>
          <w:ilvl w:val="0"/>
          <w:numId w:val="4"/>
        </w:numPr>
        <w:spacing w:after="60"/>
        <w:ind w:left="403" w:hanging="259"/>
      </w:pPr>
      <w:r>
        <w:rPr>
          <w:rFonts w:ascii="Calibri" w:hAnsi="Calibri"/>
          <w:color w:val="1F2937"/>
          <w:sz w:val="20"/>
        </w:rPr>
        <w:t>Authorization decisions, retry attempts, errors and final status.</w:t>
      </w:r>
    </w:p>
    <w:p>
      <w:pPr>
        <w:numPr>
          <w:ilvl w:val="0"/>
          <w:numId w:val="4"/>
        </w:numPr>
        <w:spacing w:after="60"/>
        <w:ind w:left="403" w:hanging="259"/>
      </w:pPr>
      <w:r>
        <w:rPr>
          <w:rFonts w:ascii="Calibri" w:hAnsi="Calibri"/>
          <w:color w:val="1F2937"/>
          <w:sz w:val="20"/>
        </w:rPr>
        <w:t>Evidence links for every material recommendation claim.</w:t>
      </w:r>
    </w:p>
    <w:p>
      <w:pPr>
        <w:pStyle w:val="Heading1"/>
      </w:pPr>
      <w:r>
        <w:rPr>
          <w:rFonts w:ascii="Calibri" w:hAnsi="Calibri"/>
          <w:color w:val="1F2937"/>
          <w:sz w:val="21"/>
        </w:rPr>
        <w:t>15. Test and acceptance strategy</w:t>
      </w:r>
    </w:p>
    <w:p>
      <w:pPr>
        <w:pStyle w:val="Heading2"/>
      </w:pPr>
      <w:r>
        <w:rPr>
          <w:rFonts w:ascii="Calibri" w:hAnsi="Calibri"/>
          <w:color w:val="1F2937"/>
          <w:sz w:val="21"/>
        </w:rPr>
        <w:t>15.1 Functional acceptance criteria</w:t>
      </w:r>
    </w:p>
    <w:p>
      <w:pPr>
        <w:numPr>
          <w:ilvl w:val="0"/>
          <w:numId w:val="4"/>
        </w:numPr>
        <w:spacing w:after="60"/>
        <w:ind w:left="403" w:hanging="259"/>
      </w:pPr>
      <w:r>
        <w:rPr>
          <w:rFonts w:ascii="Calibri" w:hAnsi="Calibri"/>
          <w:color w:val="1F2937"/>
          <w:sz w:val="20"/>
        </w:rPr>
        <w:t>A finalized eligible false-positive case creates exactly one initial case_analysis_job.</w:t>
      </w:r>
    </w:p>
    <w:p>
      <w:pPr>
        <w:numPr>
          <w:ilvl w:val="0"/>
          <w:numId w:val="4"/>
        </w:numPr>
        <w:spacing w:after="60"/>
        <w:ind w:left="403" w:hanging="259"/>
      </w:pPr>
      <w:r>
        <w:rPr>
          <w:rFonts w:ascii="Calibri" w:hAnsi="Calibri"/>
          <w:color w:val="1F2937"/>
          <w:sz w:val="20"/>
        </w:rPr>
        <w:t>A duplicate trigger does not create a second job for the same source event.</w:t>
      </w:r>
    </w:p>
    <w:p>
      <w:pPr>
        <w:numPr>
          <w:ilvl w:val="0"/>
          <w:numId w:val="4"/>
        </w:numPr>
        <w:spacing w:after="60"/>
        <w:ind w:left="403" w:hanging="259"/>
      </w:pPr>
      <w:r>
        <w:rPr>
          <w:rFonts w:ascii="Calibri" w:hAnsi="Calibri"/>
          <w:color w:val="1F2937"/>
          <w:sz w:val="20"/>
        </w:rPr>
        <w:t>A case is traced to source-aware alerts, results, matches and rule versions.</w:t>
      </w:r>
    </w:p>
    <w:p>
      <w:pPr>
        <w:numPr>
          <w:ilvl w:val="0"/>
          <w:numId w:val="4"/>
        </w:numPr>
        <w:spacing w:after="60"/>
        <w:ind w:left="403" w:hanging="259"/>
      </w:pPr>
      <w:r>
        <w:rPr>
          <w:rFonts w:ascii="Calibri" w:hAnsi="Calibri"/>
          <w:color w:val="1F2937"/>
          <w:sz w:val="20"/>
        </w:rPr>
        <w:t>Rules unrelated to the triggering case are not analyzed.</w:t>
      </w:r>
    </w:p>
    <w:p>
      <w:pPr>
        <w:numPr>
          <w:ilvl w:val="0"/>
          <w:numId w:val="4"/>
        </w:numPr>
        <w:spacing w:after="60"/>
        <w:ind w:left="403" w:hanging="259"/>
      </w:pPr>
      <w:r>
        <w:rPr>
          <w:rFonts w:ascii="Calibri" w:hAnsi="Calibri"/>
          <w:color w:val="1F2937"/>
          <w:sz w:val="20"/>
        </w:rPr>
        <w:t>The snapshot is bounded, partitioned and reproducible at its cutoff.</w:t>
      </w:r>
    </w:p>
    <w:p>
      <w:pPr>
        <w:numPr>
          <w:ilvl w:val="0"/>
          <w:numId w:val="4"/>
        </w:numPr>
        <w:spacing w:after="60"/>
        <w:ind w:left="403" w:hanging="259"/>
      </w:pPr>
      <w:r>
        <w:rPr>
          <w:rFonts w:ascii="Calibri" w:hAnsi="Calibri"/>
          <w:color w:val="1F2937"/>
          <w:sz w:val="20"/>
        </w:rPr>
        <w:t>Findings contain formulas, periods, denominators and evidence IDs.</w:t>
      </w:r>
    </w:p>
    <w:p>
      <w:pPr>
        <w:numPr>
          <w:ilvl w:val="0"/>
          <w:numId w:val="4"/>
        </w:numPr>
        <w:spacing w:after="60"/>
        <w:ind w:left="403" w:hanging="259"/>
      </w:pPr>
      <w:r>
        <w:rPr>
          <w:rFonts w:ascii="Calibri" w:hAnsi="Calibri"/>
          <w:color w:val="1F2937"/>
          <w:sz w:val="20"/>
        </w:rPr>
        <w:t>The recommendation is rejected if a material claim lacks evidence.</w:t>
      </w:r>
    </w:p>
    <w:p>
      <w:pPr>
        <w:numPr>
          <w:ilvl w:val="0"/>
          <w:numId w:val="4"/>
        </w:numPr>
        <w:spacing w:after="60"/>
        <w:ind w:left="403" w:hanging="259"/>
      </w:pPr>
      <w:r>
        <w:rPr>
          <w:rFonts w:ascii="Calibri" w:hAnsi="Calibri"/>
          <w:color w:val="1F2937"/>
          <w:sz w:val="20"/>
        </w:rPr>
        <w:t>LLM outage still produces a validated deterministic explanation when policy allows.</w:t>
      </w:r>
    </w:p>
    <w:p>
      <w:pPr>
        <w:numPr>
          <w:ilvl w:val="0"/>
          <w:numId w:val="4"/>
        </w:numPr>
        <w:spacing w:after="60"/>
        <w:ind w:left="403" w:hanging="259"/>
      </w:pPr>
      <w:r>
        <w:rPr>
          <w:rFonts w:ascii="Calibri" w:hAnsi="Calibri"/>
          <w:color w:val="1F2937"/>
          <w:sz w:val="20"/>
        </w:rPr>
        <w:t>No execution path writes to EFRM rule configuration in Phase 1.</w:t>
      </w:r>
    </w:p>
    <w:p>
      <w:pPr>
        <w:numPr>
          <w:ilvl w:val="0"/>
          <w:numId w:val="4"/>
        </w:numPr>
        <w:spacing w:after="60"/>
        <w:ind w:left="403" w:hanging="259"/>
      </w:pPr>
      <w:r>
        <w:rPr>
          <w:rFonts w:ascii="Calibri" w:hAnsi="Calibri"/>
          <w:color w:val="1F2937"/>
          <w:sz w:val="20"/>
        </w:rPr>
        <w:t>Human review creates append-only review and status records.</w:t>
      </w:r>
    </w:p>
    <w:p>
      <w:pPr>
        <w:pStyle w:val="Heading2"/>
      </w:pPr>
      <w:r>
        <w:rPr>
          <w:rFonts w:ascii="Calibri" w:hAnsi="Calibri"/>
          <w:color w:val="1F2937"/>
          <w:sz w:val="21"/>
        </w:rPr>
        <w:t>15.2 Test layers</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Layer</w:t>
            </w:r>
          </w:p>
        </w:tc>
        <w:tc>
          <w:tcPr>
            <w:tcW w:type="dxa" w:w="76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6"/>
              </w:rPr>
              <w:t>Examples</w:t>
            </w:r>
          </w:p>
        </w:tc>
      </w:tr>
      <w:tr>
        <w:trPr>
          <w:cantSplit/>
        </w:trPr>
        <w:tc>
          <w:tcPr>
            <w:tcW w:type="dxa" w:w="1700"/>
            <w:shd w:fill="FFFFFF"/>
          </w:tcPr>
          <w:p>
            <w:pPr>
              <w:spacing w:after="0"/>
            </w:pPr>
            <w:r>
              <w:rPr>
                <w:rFonts w:ascii="Calibri" w:hAnsi="Calibri"/>
                <w:color w:val="1F2937"/>
                <w:sz w:val="16"/>
              </w:rPr>
              <w:t>Unit</w:t>
            </w:r>
          </w:p>
        </w:tc>
        <w:tc>
          <w:tcPr>
            <w:tcW w:type="dxa" w:w="7660"/>
            <w:shd w:fill="FFFFFF"/>
          </w:tcPr>
          <w:p>
            <w:pPr>
              <w:spacing w:after="0"/>
            </w:pPr>
            <w:r>
              <w:rPr>
                <w:rFonts w:ascii="Calibri" w:hAnsi="Calibri"/>
                <w:color w:val="1F2937"/>
                <w:sz w:val="16"/>
              </w:rPr>
              <w:t>Outcome mapping, scope filters, metric formulas, decay gates, threshold bands, claim validation.</w:t>
            </w:r>
          </w:p>
        </w:tc>
      </w:tr>
      <w:tr>
        <w:trPr>
          <w:cantSplit/>
        </w:trPr>
        <w:tc>
          <w:tcPr>
            <w:tcW w:type="dxa" w:w="1700"/>
            <w:shd w:fill="F4F7FA"/>
          </w:tcPr>
          <w:p>
            <w:pPr>
              <w:spacing w:after="0"/>
            </w:pPr>
            <w:r>
              <w:rPr>
                <w:rFonts w:ascii="Calibri" w:hAnsi="Calibri"/>
                <w:color w:val="1F2937"/>
                <w:sz w:val="16"/>
              </w:rPr>
              <w:t>Contract</w:t>
            </w:r>
          </w:p>
        </w:tc>
        <w:tc>
          <w:tcPr>
            <w:tcW w:type="dxa" w:w="7660"/>
            <w:shd w:fill="F4F7FA"/>
          </w:tcPr>
          <w:p>
            <w:pPr>
              <w:spacing w:after="0"/>
            </w:pPr>
            <w:r>
              <w:rPr>
                <w:rFonts w:ascii="Calibri" w:hAnsi="Calibri"/>
                <w:color w:val="1F2937"/>
                <w:sz w:val="16"/>
              </w:rPr>
              <w:t>SQL result schemas, tool schemas, EFRM source-aware identifiers and API schemas.</w:t>
            </w:r>
          </w:p>
        </w:tc>
      </w:tr>
      <w:tr>
        <w:trPr>
          <w:cantSplit/>
        </w:trPr>
        <w:tc>
          <w:tcPr>
            <w:tcW w:type="dxa" w:w="1700"/>
            <w:shd w:fill="FFFFFF"/>
          </w:tcPr>
          <w:p>
            <w:pPr>
              <w:spacing w:after="0"/>
            </w:pPr>
            <w:r>
              <w:rPr>
                <w:rFonts w:ascii="Calibri" w:hAnsi="Calibri"/>
                <w:color w:val="1F2937"/>
                <w:sz w:val="16"/>
              </w:rPr>
              <w:t>Integration</w:t>
            </w:r>
          </w:p>
        </w:tc>
        <w:tc>
          <w:tcPr>
            <w:tcW w:type="dxa" w:w="7660"/>
            <w:shd w:fill="FFFFFF"/>
          </w:tcPr>
          <w:p>
            <w:pPr>
              <w:spacing w:after="0"/>
            </w:pPr>
            <w:r>
              <w:rPr>
                <w:rFonts w:ascii="Calibri" w:hAnsi="Calibri"/>
                <w:color w:val="1F2937"/>
                <w:sz w:val="16"/>
              </w:rPr>
              <w:t>Read replica, Agentic DB/RLS, object storage, checkpointer and optional LLM gateway.</w:t>
            </w:r>
          </w:p>
        </w:tc>
      </w:tr>
      <w:tr>
        <w:trPr>
          <w:cantSplit/>
        </w:trPr>
        <w:tc>
          <w:tcPr>
            <w:tcW w:type="dxa" w:w="1700"/>
            <w:shd w:fill="F4F7FA"/>
          </w:tcPr>
          <w:p>
            <w:pPr>
              <w:spacing w:after="0"/>
            </w:pPr>
            <w:r>
              <w:rPr>
                <w:rFonts w:ascii="Calibri" w:hAnsi="Calibri"/>
                <w:color w:val="1F2937"/>
                <w:sz w:val="16"/>
              </w:rPr>
              <w:t>Replay</w:t>
            </w:r>
          </w:p>
        </w:tc>
        <w:tc>
          <w:tcPr>
            <w:tcW w:type="dxa" w:w="7660"/>
            <w:shd w:fill="F4F7FA"/>
          </w:tcPr>
          <w:p>
            <w:pPr>
              <w:spacing w:after="0"/>
            </w:pPr>
            <w:r>
              <w:rPr>
                <w:rFonts w:ascii="Calibri" w:hAnsi="Calibri"/>
                <w:color w:val="1F2937"/>
                <w:sz w:val="16"/>
              </w:rPr>
              <w:t>Known lineages, deleted versions, duplicate alerts and corrected decisions.</w:t>
            </w:r>
          </w:p>
        </w:tc>
      </w:tr>
      <w:tr>
        <w:trPr>
          <w:cantSplit/>
        </w:trPr>
        <w:tc>
          <w:tcPr>
            <w:tcW w:type="dxa" w:w="1700"/>
            <w:shd w:fill="FFFFFF"/>
          </w:tcPr>
          <w:p>
            <w:pPr>
              <w:spacing w:after="0"/>
            </w:pPr>
            <w:r>
              <w:rPr>
                <w:rFonts w:ascii="Calibri" w:hAnsi="Calibri"/>
                <w:color w:val="1F2937"/>
                <w:sz w:val="16"/>
              </w:rPr>
              <w:t>Reliability</w:t>
            </w:r>
          </w:p>
        </w:tc>
        <w:tc>
          <w:tcPr>
            <w:tcW w:type="dxa" w:w="7660"/>
            <w:shd w:fill="FFFFFF"/>
          </w:tcPr>
          <w:p>
            <w:pPr>
              <w:spacing w:after="0"/>
            </w:pPr>
            <w:r>
              <w:rPr>
                <w:rFonts w:ascii="Calibri" w:hAnsi="Calibri"/>
                <w:color w:val="1F2937"/>
                <w:sz w:val="16"/>
              </w:rPr>
              <w:t>Worker crash, lease expiry, retry storm, outbox outage, restore and dead-letter recovery.</w:t>
            </w:r>
          </w:p>
        </w:tc>
      </w:tr>
      <w:tr>
        <w:trPr>
          <w:cantSplit/>
        </w:trPr>
        <w:tc>
          <w:tcPr>
            <w:tcW w:type="dxa" w:w="1700"/>
            <w:shd w:fill="F4F7FA"/>
          </w:tcPr>
          <w:p>
            <w:pPr>
              <w:spacing w:after="0"/>
            </w:pPr>
            <w:r>
              <w:rPr>
                <w:rFonts w:ascii="Calibri" w:hAnsi="Calibri"/>
                <w:color w:val="1F2937"/>
                <w:sz w:val="16"/>
              </w:rPr>
              <w:t>Security</w:t>
            </w:r>
          </w:p>
        </w:tc>
        <w:tc>
          <w:tcPr>
            <w:tcW w:type="dxa" w:w="7660"/>
            <w:shd w:fill="F4F7FA"/>
          </w:tcPr>
          <w:p>
            <w:pPr>
              <w:spacing w:after="0"/>
            </w:pPr>
            <w:r>
              <w:rPr>
                <w:rFonts w:ascii="Calibri" w:hAnsi="Calibri"/>
                <w:color w:val="1F2937"/>
                <w:sz w:val="16"/>
              </w:rPr>
              <w:t>Cross-tenant reads, prompt injection in stored text, unauthorized review/write and LLM egress.</w:t>
            </w:r>
          </w:p>
        </w:tc>
      </w:tr>
      <w:tr>
        <w:trPr>
          <w:cantSplit/>
        </w:trPr>
        <w:tc>
          <w:tcPr>
            <w:tcW w:type="dxa" w:w="1700"/>
            <w:shd w:fill="FFFFFF"/>
          </w:tcPr>
          <w:p>
            <w:pPr>
              <w:spacing w:after="0"/>
            </w:pPr>
            <w:r>
              <w:rPr>
                <w:rFonts w:ascii="Calibri" w:hAnsi="Calibri"/>
                <w:color w:val="1F2937"/>
                <w:sz w:val="16"/>
              </w:rPr>
              <w:t>Performance</w:t>
            </w:r>
          </w:p>
        </w:tc>
        <w:tc>
          <w:tcPr>
            <w:tcW w:type="dxa" w:w="7660"/>
            <w:shd w:fill="FFFFFF"/>
          </w:tcPr>
          <w:p>
            <w:pPr>
              <w:spacing w:after="0"/>
            </w:pPr>
            <w:r>
              <w:rPr>
                <w:rFonts w:ascii="Calibri" w:hAnsi="Calibri"/>
                <w:color w:val="1F2937"/>
                <w:sz w:val="16"/>
              </w:rPr>
              <w:t>Partitioned extraction, per-rule fan-out and high-volume audit/tool history.</w:t>
            </w:r>
          </w:p>
        </w:tc>
      </w:tr>
    </w:tbl>
    <w:p>
      <w:pPr>
        <w:spacing w:after="40"/>
      </w:pPr>
    </w:p>
    <w:p>
      <w:r>
        <w:br w:type="page"/>
      </w:r>
    </w:p>
    <w:p>
      <w:pPr>
        <w:pStyle w:val="Heading1"/>
      </w:pPr>
      <w:r>
        <w:rPr>
          <w:rFonts w:ascii="Calibri" w:hAnsi="Calibri"/>
          <w:color w:val="1F2937"/>
          <w:sz w:val="21"/>
        </w:rPr>
        <w:t>16. Implementation plan</w:t>
      </w:r>
    </w:p>
    <w:tbl>
      <w:tblPr>
        <w:tblW w:type="dxa" w:w="9360"/>
        <w:jc w:val="left"/>
        <w:tblLayout w:type="fixed"/>
        <w:tblLook w:firstColumn="1" w:firstRow="1" w:lastColumn="0" w:lastRow="0" w:noHBand="0" w:noVBand="1" w:val="04A0"/>
        <w:tblInd w:w="120" w:type="dxa"/>
      </w:tblPr>
      <w:tblGrid>
        <w:gridCol w:w="1800"/>
        <w:gridCol w:w="5200"/>
        <w:gridCol w:w="2360"/>
      </w:tblGrid>
      <w:tr>
        <w:tc>
          <w:tcPr>
            <w:tcW w:type="dxa" w:w="18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Stage</w:t>
            </w:r>
          </w:p>
        </w:tc>
        <w:tc>
          <w:tcPr>
            <w:tcW w:type="dxa" w:w="52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Deliverables</w:t>
            </w:r>
          </w:p>
        </w:tc>
        <w:tc>
          <w:tcPr>
            <w:tcW w:type="dxa" w:w="23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5"/>
              </w:rPr>
              <w:t>Exit gate</w:t>
            </w:r>
          </w:p>
        </w:tc>
      </w:tr>
      <w:tr>
        <w:trPr>
          <w:cantSplit/>
        </w:trPr>
        <w:tc>
          <w:tcPr>
            <w:tcW w:type="dxa" w:w="1800"/>
            <w:shd w:fill="FFFFFF"/>
          </w:tcPr>
          <w:p>
            <w:pPr>
              <w:spacing w:after="0"/>
            </w:pPr>
            <w:r>
              <w:rPr>
                <w:rFonts w:ascii="Calibri" w:hAnsi="Calibri"/>
                <w:color w:val="1F2937"/>
                <w:sz w:val="15"/>
              </w:rPr>
              <w:t>0. Contract and schema hardening</w:t>
            </w:r>
          </w:p>
        </w:tc>
        <w:tc>
          <w:tcPr>
            <w:tcW w:type="dxa" w:w="5200"/>
            <w:shd w:fill="FFFFFF"/>
          </w:tcPr>
          <w:p>
            <w:pPr>
              <w:spacing w:after="0"/>
            </w:pPr>
            <w:r>
              <w:rPr>
                <w:rFonts w:ascii="Calibri" w:hAnsi="Calibri"/>
                <w:color w:val="1F2937"/>
                <w:sz w:val="15"/>
              </w:rPr>
              <w:t>Apply v1.1 corrections; seed agents, workflow, tools, policies and mappings.</w:t>
            </w:r>
          </w:p>
        </w:tc>
        <w:tc>
          <w:tcPr>
            <w:tcW w:type="dxa" w:w="2360"/>
            <w:shd w:fill="FFFFFF"/>
          </w:tcPr>
          <w:p>
            <w:pPr>
              <w:spacing w:after="0"/>
            </w:pPr>
            <w:r>
              <w:rPr>
                <w:rFonts w:ascii="Calibri" w:hAnsi="Calibri"/>
                <w:color w:val="1F2937"/>
                <w:sz w:val="15"/>
              </w:rPr>
              <w:t>Migration and tenant/RLS tests pass.</w:t>
            </w:r>
          </w:p>
        </w:tc>
      </w:tr>
      <w:tr>
        <w:trPr>
          <w:cantSplit/>
        </w:trPr>
        <w:tc>
          <w:tcPr>
            <w:tcW w:type="dxa" w:w="1800"/>
            <w:shd w:fill="F4F7FA"/>
          </w:tcPr>
          <w:p>
            <w:pPr>
              <w:spacing w:after="0"/>
            </w:pPr>
            <w:r>
              <w:rPr>
                <w:rFonts w:ascii="Calibri" w:hAnsi="Calibri"/>
                <w:color w:val="1F2937"/>
                <w:sz w:val="15"/>
              </w:rPr>
              <w:t>1. Platform foundation</w:t>
            </w:r>
          </w:p>
        </w:tc>
        <w:tc>
          <w:tcPr>
            <w:tcW w:type="dxa" w:w="5200"/>
            <w:shd w:fill="F4F7FA"/>
          </w:tcPr>
          <w:p>
            <w:pPr>
              <w:spacing w:after="0"/>
            </w:pPr>
            <w:r>
              <w:rPr>
                <w:rFonts w:ascii="Calibri" w:hAnsi="Calibri"/>
                <w:color w:val="1F2937"/>
                <w:sz w:val="15"/>
              </w:rPr>
              <w:t>FastAPI, worker lease loop, repositories, secrets, read-only EFRM connector and object storage connector.</w:t>
            </w:r>
          </w:p>
        </w:tc>
        <w:tc>
          <w:tcPr>
            <w:tcW w:type="dxa" w:w="2360"/>
            <w:shd w:fill="F4F7FA"/>
          </w:tcPr>
          <w:p>
            <w:pPr>
              <w:spacing w:after="0"/>
            </w:pPr>
            <w:r>
              <w:rPr>
                <w:rFonts w:ascii="Calibri" w:hAnsi="Calibri"/>
                <w:color w:val="1F2937"/>
                <w:sz w:val="15"/>
              </w:rPr>
              <w:t>Health, auth and idempotency tests pass.</w:t>
            </w:r>
          </w:p>
        </w:tc>
      </w:tr>
      <w:tr>
        <w:trPr>
          <w:cantSplit/>
        </w:trPr>
        <w:tc>
          <w:tcPr>
            <w:tcW w:type="dxa" w:w="1800"/>
            <w:shd w:fill="FFFFFF"/>
          </w:tcPr>
          <w:p>
            <w:pPr>
              <w:spacing w:after="0"/>
            </w:pPr>
            <w:r>
              <w:rPr>
                <w:rFonts w:ascii="Calibri" w:hAnsi="Calibri"/>
                <w:color w:val="1F2937"/>
                <w:sz w:val="15"/>
              </w:rPr>
              <w:t>2. Trigger and lineage</w:t>
            </w:r>
          </w:p>
        </w:tc>
        <w:tc>
          <w:tcPr>
            <w:tcW w:type="dxa" w:w="5200"/>
            <w:shd w:fill="FFFFFF"/>
          </w:tcPr>
          <w:p>
            <w:pPr>
              <w:spacing w:after="0"/>
            </w:pPr>
            <w:r>
              <w:rPr>
                <w:rFonts w:ascii="Calibri" w:hAnsi="Calibri"/>
                <w:color w:val="1F2937"/>
                <w:sz w:val="15"/>
              </w:rPr>
              <w:t>SQL poller, cursor, inbox, outcome verification, alerts, matches and source-aware lineage.</w:t>
            </w:r>
          </w:p>
        </w:tc>
        <w:tc>
          <w:tcPr>
            <w:tcW w:type="dxa" w:w="2360"/>
            <w:shd w:fill="FFFFFF"/>
          </w:tcPr>
          <w:p>
            <w:pPr>
              <w:spacing w:after="0"/>
            </w:pPr>
            <w:r>
              <w:rPr>
                <w:rFonts w:ascii="Calibri" w:hAnsi="Calibri"/>
                <w:color w:val="1F2937"/>
                <w:sz w:val="15"/>
              </w:rPr>
              <w:t>Known cases resolve correctly.</w:t>
            </w:r>
          </w:p>
        </w:tc>
      </w:tr>
      <w:tr>
        <w:trPr>
          <w:cantSplit/>
        </w:trPr>
        <w:tc>
          <w:tcPr>
            <w:tcW w:type="dxa" w:w="1800"/>
            <w:shd w:fill="F4F7FA"/>
          </w:tcPr>
          <w:p>
            <w:pPr>
              <w:spacing w:after="0"/>
            </w:pPr>
            <w:r>
              <w:rPr>
                <w:rFonts w:ascii="Calibri" w:hAnsi="Calibri"/>
                <w:color w:val="1F2937"/>
                <w:sz w:val="15"/>
              </w:rPr>
              <w:t>3. LangGraph runtime</w:t>
            </w:r>
          </w:p>
        </w:tc>
        <w:tc>
          <w:tcPr>
            <w:tcW w:type="dxa" w:w="5200"/>
            <w:shd w:fill="F4F7FA"/>
          </w:tcPr>
          <w:p>
            <w:pPr>
              <w:spacing w:after="0"/>
            </w:pPr>
            <w:r>
              <w:rPr>
                <w:rFonts w:ascii="Calibri" w:hAnsi="Calibri"/>
                <w:color w:val="1F2937"/>
                <w:sz w:val="15"/>
              </w:rPr>
              <w:t>Parent graph, per-rule fan-out, checkpointer, node audit, retry and cancellation.</w:t>
            </w:r>
          </w:p>
        </w:tc>
        <w:tc>
          <w:tcPr>
            <w:tcW w:type="dxa" w:w="2360"/>
            <w:shd w:fill="F4F7FA"/>
          </w:tcPr>
          <w:p>
            <w:pPr>
              <w:spacing w:after="0"/>
            </w:pPr>
            <w:r>
              <w:rPr>
                <w:rFonts w:ascii="Calibri" w:hAnsi="Calibri"/>
                <w:color w:val="1F2937"/>
                <w:sz w:val="15"/>
              </w:rPr>
              <w:t>Crash/restart/replay tests pass.</w:t>
            </w:r>
          </w:p>
        </w:tc>
      </w:tr>
      <w:tr>
        <w:trPr>
          <w:cantSplit/>
        </w:trPr>
        <w:tc>
          <w:tcPr>
            <w:tcW w:type="dxa" w:w="1800"/>
            <w:shd w:fill="FFFFFF"/>
          </w:tcPr>
          <w:p>
            <w:pPr>
              <w:spacing w:after="0"/>
            </w:pPr>
            <w:r>
              <w:rPr>
                <w:rFonts w:ascii="Calibri" w:hAnsi="Calibri"/>
                <w:color w:val="1F2937"/>
                <w:sz w:val="15"/>
              </w:rPr>
              <w:t>4. Configuration and snapshot</w:t>
            </w:r>
          </w:p>
        </w:tc>
        <w:tc>
          <w:tcPr>
            <w:tcW w:type="dxa" w:w="5200"/>
            <w:shd w:fill="FFFFFF"/>
          </w:tcPr>
          <w:p>
            <w:pPr>
              <w:spacing w:after="0"/>
            </w:pPr>
            <w:r>
              <w:rPr>
                <w:rFonts w:ascii="Calibri" w:hAnsi="Calibri"/>
                <w:color w:val="1F2937"/>
                <w:sz w:val="15"/>
              </w:rPr>
              <w:t>Bundle resolver, planner/builder, manifest, artifacts and quality gates.</w:t>
            </w:r>
          </w:p>
        </w:tc>
        <w:tc>
          <w:tcPr>
            <w:tcW w:type="dxa" w:w="2360"/>
            <w:shd w:fill="FFFFFF"/>
          </w:tcPr>
          <w:p>
            <w:pPr>
              <w:spacing w:after="0"/>
            </w:pPr>
            <w:r>
              <w:rPr>
                <w:rFonts w:ascii="Calibri" w:hAnsi="Calibri"/>
                <w:color w:val="1F2937"/>
                <w:sz w:val="15"/>
              </w:rPr>
              <w:t>Reproducible bounded snapshot produced.</w:t>
            </w:r>
          </w:p>
        </w:tc>
      </w:tr>
      <w:tr>
        <w:trPr>
          <w:cantSplit/>
        </w:trPr>
        <w:tc>
          <w:tcPr>
            <w:tcW w:type="dxa" w:w="1800"/>
            <w:shd w:fill="F4F7FA"/>
          </w:tcPr>
          <w:p>
            <w:pPr>
              <w:spacing w:after="0"/>
            </w:pPr>
            <w:r>
              <w:rPr>
                <w:rFonts w:ascii="Calibri" w:hAnsi="Calibri"/>
                <w:color w:val="1F2937"/>
                <w:sz w:val="15"/>
              </w:rPr>
              <w:t>5. Analytics</w:t>
            </w:r>
          </w:p>
        </w:tc>
        <w:tc>
          <w:tcPr>
            <w:tcW w:type="dxa" w:w="5200"/>
            <w:shd w:fill="F4F7FA"/>
          </w:tcPr>
          <w:p>
            <w:pPr>
              <w:spacing w:after="0"/>
            </w:pPr>
            <w:r>
              <w:rPr>
                <w:rFonts w:ascii="Calibri" w:hAnsi="Calibri"/>
                <w:color w:val="1F2937"/>
                <w:sz w:val="15"/>
              </w:rPr>
              <w:t>Health, decay, threshold and overlap tools with versioned formulas/evidence.</w:t>
            </w:r>
          </w:p>
        </w:tc>
        <w:tc>
          <w:tcPr>
            <w:tcW w:type="dxa" w:w="2360"/>
            <w:shd w:fill="F4F7FA"/>
          </w:tcPr>
          <w:p>
            <w:pPr>
              <w:spacing w:after="0"/>
            </w:pPr>
            <w:r>
              <w:rPr>
                <w:rFonts w:ascii="Calibri" w:hAnsi="Calibri"/>
                <w:color w:val="1F2937"/>
                <w:sz w:val="15"/>
              </w:rPr>
              <w:t>Known-result fixtures pass.</w:t>
            </w:r>
          </w:p>
        </w:tc>
      </w:tr>
      <w:tr>
        <w:trPr>
          <w:cantSplit/>
        </w:trPr>
        <w:tc>
          <w:tcPr>
            <w:tcW w:type="dxa" w:w="1800"/>
            <w:shd w:fill="FFFFFF"/>
          </w:tcPr>
          <w:p>
            <w:pPr>
              <w:spacing w:after="0"/>
            </w:pPr>
            <w:r>
              <w:rPr>
                <w:rFonts w:ascii="Calibri" w:hAnsi="Calibri"/>
                <w:color w:val="1F2937"/>
                <w:sz w:val="15"/>
              </w:rPr>
              <w:t>6. Recommendation</w:t>
            </w:r>
          </w:p>
        </w:tc>
        <w:tc>
          <w:tcPr>
            <w:tcW w:type="dxa" w:w="5200"/>
            <w:shd w:fill="FFFFFF"/>
          </w:tcPr>
          <w:p>
            <w:pPr>
              <w:spacing w:after="0"/>
            </w:pPr>
            <w:r>
              <w:rPr>
                <w:rFonts w:ascii="Calibri" w:hAnsi="Calibri"/>
                <w:color w:val="1F2937"/>
                <w:sz w:val="15"/>
              </w:rPr>
              <w:t>Deterministic strategy, optional explanation, claim validation, API and outbox.</w:t>
            </w:r>
          </w:p>
        </w:tc>
        <w:tc>
          <w:tcPr>
            <w:tcW w:type="dxa" w:w="2360"/>
            <w:shd w:fill="FFFFFF"/>
          </w:tcPr>
          <w:p>
            <w:pPr>
              <w:spacing w:after="0"/>
            </w:pPr>
            <w:r>
              <w:rPr>
                <w:rFonts w:ascii="Calibri" w:hAnsi="Calibri"/>
                <w:color w:val="1F2937"/>
                <w:sz w:val="15"/>
              </w:rPr>
              <w:t>No unsupported claims; review contract passes.</w:t>
            </w:r>
          </w:p>
        </w:tc>
      </w:tr>
      <w:tr>
        <w:trPr>
          <w:cantSplit/>
        </w:trPr>
        <w:tc>
          <w:tcPr>
            <w:tcW w:type="dxa" w:w="1800"/>
            <w:shd w:fill="F4F7FA"/>
          </w:tcPr>
          <w:p>
            <w:pPr>
              <w:spacing w:after="0"/>
            </w:pPr>
            <w:r>
              <w:rPr>
                <w:rFonts w:ascii="Calibri" w:hAnsi="Calibri"/>
                <w:color w:val="1F2937"/>
                <w:sz w:val="15"/>
              </w:rPr>
              <w:t>7. Hardening</w:t>
            </w:r>
          </w:p>
        </w:tc>
        <w:tc>
          <w:tcPr>
            <w:tcW w:type="dxa" w:w="5200"/>
            <w:shd w:fill="F4F7FA"/>
          </w:tcPr>
          <w:p>
            <w:pPr>
              <w:spacing w:after="0"/>
            </w:pPr>
            <w:r>
              <w:rPr>
                <w:rFonts w:ascii="Calibri" w:hAnsi="Calibri"/>
                <w:color w:val="1F2937"/>
                <w:sz w:val="15"/>
              </w:rPr>
              <w:t>Observability, retention, DR, load, privacy, security review and runbooks.</w:t>
            </w:r>
          </w:p>
        </w:tc>
        <w:tc>
          <w:tcPr>
            <w:tcW w:type="dxa" w:w="2360"/>
            <w:shd w:fill="F4F7FA"/>
          </w:tcPr>
          <w:p>
            <w:pPr>
              <w:spacing w:after="0"/>
            </w:pPr>
            <w:r>
              <w:rPr>
                <w:rFonts w:ascii="Calibri" w:hAnsi="Calibri"/>
                <w:color w:val="1F2937"/>
                <w:sz w:val="15"/>
              </w:rPr>
              <w:t>Production readiness approved.</w:t>
            </w:r>
          </w:p>
        </w:tc>
      </w:tr>
    </w:tbl>
    <w:p>
      <w:pPr>
        <w:spacing w:after="40"/>
      </w:pPr>
    </w:p>
    <w:p>
      <w:pPr>
        <w:pStyle w:val="Heading2"/>
      </w:pPr>
      <w:r>
        <w:rPr>
          <w:rFonts w:ascii="Calibri" w:hAnsi="Calibri"/>
          <w:color w:val="1F2937"/>
          <w:sz w:val="21"/>
        </w:rPr>
        <w:t>16.1 Production approval boundary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12" w:space="0" w:color="167A83"/>
              <w:left w:val="single" w:sz="12" w:space="0" w:color="167A83"/>
              <w:bottom w:val="single" w:sz="12" w:space="0" w:color="167A83"/>
              <w:right w:val="single" w:sz="12" w:space="0" w:color="167A83"/>
              <w:insideH w:val="single" w:sz="12" w:space="0" w:color="167A83"/>
              <w:insideV w:val="single" w:sz="12" w:space="0" w:color="167A83"/>
            </w:tcBorders>
            <w:vAlign w:val="center"/>
            <w:shd w:fill="E8F4F3"/>
          </w:tcPr>
          <w:p>
            <w:pPr>
              <w:spacing w:after="0"/>
            </w:pPr>
            <w:r>
              <w:rPr>
                <w:rFonts w:ascii="Calibri" w:hAnsi="Calibri"/>
                <w:b/>
                <w:color w:val="167A83"/>
                <w:sz w:val="21"/>
              </w:rPr>
              <w:t xml:space="preserve">Phase 1 release rule  </w:t>
            </w:r>
            <w:r>
              <w:rPr>
                <w:rFonts w:ascii="Calibri" w:hAnsi="Calibri"/>
                <w:color w:val="1F2937"/>
                <w:sz w:val="21"/>
              </w:rPr>
              <w:t>The service may read EFRM data and write Agentic Platform records only. It may not call a production rule-write API, submit a rule for deployment, retire a rule or alter a rule configuration. A human must use the existing EFRM governance process for any change.</w:t>
            </w:r>
          </w:p>
        </w:tc>
      </w:tr>
    </w:tbl>
    <w:p>
      <w:pPr>
        <w:spacing w:after="40"/>
      </w:pPr>
    </w:p>
    <w:p>
      <w:pPr>
        <w:pStyle w:val="Heading2"/>
      </w:pPr>
      <w:r>
        <w:rPr>
          <w:rFonts w:ascii="Calibri" w:hAnsi="Calibri"/>
          <w:color w:val="1F2937"/>
          <w:sz w:val="21"/>
        </w:rPr>
        <w:t>16.2 Open inputs required before production</w:t>
      </w:r>
    </w:p>
    <w:p>
      <w:pPr>
        <w:numPr>
          <w:ilvl w:val="0"/>
          <w:numId w:val="4"/>
        </w:numPr>
        <w:spacing w:after="60"/>
        <w:ind w:left="403" w:hanging="259"/>
      </w:pPr>
      <w:r>
        <w:rPr>
          <w:rFonts w:ascii="Calibri" w:hAnsi="Calibri"/>
          <w:color w:val="1F2937"/>
          <w:sz w:val="20"/>
        </w:rPr>
        <w:t>Institution outcome mappings, finality/maturity rules and approval roles.</w:t>
      </w:r>
    </w:p>
    <w:p>
      <w:pPr>
        <w:numPr>
          <w:ilvl w:val="0"/>
          <w:numId w:val="4"/>
        </w:numPr>
        <w:spacing w:after="60"/>
        <w:ind w:left="403" w:hanging="259"/>
      </w:pPr>
      <w:r>
        <w:rPr>
          <w:rFonts w:ascii="Calibri" w:hAnsi="Calibri"/>
          <w:color w:val="1F2937"/>
          <w:sz w:val="20"/>
        </w:rPr>
        <w:t>Exact semantics of rule_version, rule_group_version and match history identifiers.</w:t>
      </w:r>
    </w:p>
    <w:p>
      <w:pPr>
        <w:numPr>
          <w:ilvl w:val="0"/>
          <w:numId w:val="4"/>
        </w:numPr>
        <w:spacing w:after="60"/>
        <w:ind w:left="403" w:hanging="259"/>
      </w:pPr>
      <w:r>
        <w:rPr>
          <w:rFonts w:ascii="Calibri" w:hAnsi="Calibri"/>
          <w:color w:val="1F2937"/>
          <w:sz w:val="20"/>
        </w:rPr>
        <w:t>Approved EFRM read views/replica, performance limits and source connector contract.</w:t>
      </w:r>
    </w:p>
    <w:p>
      <w:pPr>
        <w:numPr>
          <w:ilvl w:val="0"/>
          <w:numId w:val="4"/>
        </w:numPr>
        <w:spacing w:after="60"/>
        <w:ind w:left="403" w:hanging="259"/>
      </w:pPr>
      <w:r>
        <w:rPr>
          <w:rFonts w:ascii="Calibri" w:hAnsi="Calibri"/>
          <w:color w:val="1F2937"/>
          <w:sz w:val="20"/>
        </w:rPr>
        <w:t>Metric Definition Custom SQL governance and point-in-time reproducibility policy.</w:t>
      </w:r>
    </w:p>
    <w:p>
      <w:pPr>
        <w:numPr>
          <w:ilvl w:val="0"/>
          <w:numId w:val="4"/>
        </w:numPr>
        <w:spacing w:after="60"/>
        <w:ind w:left="403" w:hanging="259"/>
      </w:pPr>
      <w:r>
        <w:rPr>
          <w:rFonts w:ascii="Calibri" w:hAnsi="Calibri"/>
          <w:color w:val="1F2937"/>
          <w:sz w:val="20"/>
        </w:rPr>
        <w:t>Minimum sample-size, health, decay and evidence-strength policies.</w:t>
      </w:r>
    </w:p>
    <w:p>
      <w:pPr>
        <w:numPr>
          <w:ilvl w:val="0"/>
          <w:numId w:val="4"/>
        </w:numPr>
        <w:spacing w:after="60"/>
        <w:ind w:left="403" w:hanging="259"/>
      </w:pPr>
      <w:r>
        <w:rPr>
          <w:rFonts w:ascii="Calibri" w:hAnsi="Calibri"/>
          <w:color w:val="1F2937"/>
          <w:sz w:val="20"/>
        </w:rPr>
        <w:t>Approved local/API LLM provider, classification, masking and retention decisions.</w:t>
      </w:r>
    </w:p>
    <w:p>
      <w:pPr>
        <w:numPr>
          <w:ilvl w:val="0"/>
          <w:numId w:val="4"/>
        </w:numPr>
        <w:spacing w:after="60"/>
        <w:ind w:left="403" w:hanging="259"/>
      </w:pPr>
      <w:r>
        <w:rPr>
          <w:rFonts w:ascii="Calibri" w:hAnsi="Calibri"/>
          <w:color w:val="1F2937"/>
          <w:sz w:val="20"/>
        </w:rPr>
        <w:t>Historical rule retention/deletion contract and handling of deleted configurations.</w:t>
      </w:r>
    </w:p>
    <w:p>
      <w:pPr>
        <w:numPr>
          <w:ilvl w:val="0"/>
          <w:numId w:val="4"/>
        </w:numPr>
        <w:spacing w:after="60"/>
        <w:ind w:left="403" w:hanging="259"/>
      </w:pPr>
      <w:r>
        <w:rPr>
          <w:rFonts w:ascii="Calibri" w:hAnsi="Calibri"/>
          <w:color w:val="1F2937"/>
          <w:sz w:val="20"/>
        </w:rPr>
        <w:t>Approved object storage/analytical file store and legal-hold policy.</w:t>
      </w:r>
    </w:p>
    <w:p>
      <w:pPr>
        <w:pStyle w:val="Heading1"/>
      </w:pPr>
      <w:r>
        <w:rPr>
          <w:rFonts w:ascii="Calibri" w:hAnsi="Calibri"/>
          <w:color w:val="1F2937"/>
          <w:sz w:val="21"/>
        </w:rPr>
        <w:t>17. Appendix A — status and ownership reference</w:t>
      </w:r>
    </w:p>
    <w:p>
      <w:pPr>
        <w:pStyle w:val="Heading2"/>
      </w:pPr>
      <w:r>
        <w:rPr>
          <w:rFonts w:ascii="Calibri" w:hAnsi="Calibri"/>
          <w:color w:val="1F2937"/>
          <w:sz w:val="21"/>
        </w:rPr>
        <w:t>A.1 Who owns each decision?</w:t>
      </w:r>
    </w:p>
    <w:tbl>
      <w:tblPr>
        <w:tblW w:type="dxa" w:w="9360"/>
        <w:jc w:val="left"/>
        <w:tblLayout w:type="fixed"/>
        <w:tblLook w:firstColumn="1" w:firstRow="1" w:lastColumn="0" w:lastRow="0" w:noHBand="0" w:noVBand="1" w:val="04A0"/>
        <w:tblInd w:w="120" w:type="dxa"/>
      </w:tblPr>
      <w:tblGrid>
        <w:gridCol w:w="5200"/>
        <w:gridCol w:w="4160"/>
      </w:tblGrid>
      <w:tr>
        <w:tc>
          <w:tcPr>
            <w:tcW w:type="dxa" w:w="520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7"/>
              </w:rPr>
              <w:t>Decision</w:t>
            </w:r>
          </w:p>
        </w:tc>
        <w:tc>
          <w:tcPr>
            <w:tcW w:type="dxa" w:w="4160"/>
            <w:tcMar>
              <w:top w:w="80" w:type="dxa"/>
              <w:start w:w="120" w:type="dxa"/>
              <w:bottom w:w="80" w:type="dxa"/>
              <w:end w:w="120" w:type="dxa"/>
            </w:tcMa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vAlign w:val="center"/>
            <w:shd w:fill="0B2545"/>
          </w:tcPr>
          <w:p>
            <w:pPr>
              <w:spacing w:after="0"/>
            </w:pPr>
            <w:r>
              <w:rPr>
                <w:rFonts w:ascii="Calibri" w:hAnsi="Calibri"/>
                <w:b/>
                <w:color w:val="FFFFFF"/>
                <w:sz w:val="17"/>
              </w:rPr>
              <w:t>Owner</w:t>
            </w:r>
          </w:p>
        </w:tc>
      </w:tr>
      <w:tr>
        <w:trPr>
          <w:cantSplit/>
        </w:trPr>
        <w:tc>
          <w:tcPr>
            <w:tcW w:type="dxa" w:w="5200"/>
            <w:shd w:fill="FFFFFF"/>
          </w:tcPr>
          <w:p>
            <w:pPr>
              <w:spacing w:after="0"/>
            </w:pPr>
            <w:r>
              <w:rPr>
                <w:rFonts w:ascii="Calibri" w:hAnsi="Calibri"/>
                <w:color w:val="1F2937"/>
                <w:sz w:val="17"/>
              </w:rPr>
              <w:t>Is the case finally eligible?</w:t>
            </w:r>
          </w:p>
        </w:tc>
        <w:tc>
          <w:tcPr>
            <w:tcW w:type="dxa" w:w="4160"/>
            <w:shd w:fill="FFFFFF"/>
          </w:tcPr>
          <w:p>
            <w:pPr>
              <w:spacing w:after="0"/>
            </w:pPr>
            <w:r>
              <w:rPr>
                <w:rFonts w:ascii="Calibri" w:hAnsi="Calibri"/>
                <w:color w:val="1F2937"/>
                <w:sz w:val="17"/>
              </w:rPr>
              <w:t>Outcome mapping + deterministic verifier</w:t>
            </w:r>
          </w:p>
        </w:tc>
      </w:tr>
      <w:tr>
        <w:trPr>
          <w:cantSplit/>
        </w:trPr>
        <w:tc>
          <w:tcPr>
            <w:tcW w:type="dxa" w:w="5200"/>
            <w:shd w:fill="F4F7FA"/>
          </w:tcPr>
          <w:p>
            <w:pPr>
              <w:spacing w:after="0"/>
            </w:pPr>
            <w:r>
              <w:rPr>
                <w:rFonts w:ascii="Calibri" w:hAnsi="Calibri"/>
                <w:color w:val="1F2937"/>
                <w:sz w:val="17"/>
              </w:rPr>
              <w:t>Which rules are analyzed?</w:t>
            </w:r>
          </w:p>
        </w:tc>
        <w:tc>
          <w:tcPr>
            <w:tcW w:type="dxa" w:w="4160"/>
            <w:shd w:fill="F4F7FA"/>
          </w:tcPr>
          <w:p>
            <w:pPr>
              <w:spacing w:after="0"/>
            </w:pPr>
            <w:r>
              <w:rPr>
                <w:rFonts w:ascii="Calibri" w:hAnsi="Calibri"/>
                <w:color w:val="1F2937"/>
                <w:sz w:val="17"/>
              </w:rPr>
              <w:t>Lineage resolver + deterministic selector</w:t>
            </w:r>
          </w:p>
        </w:tc>
      </w:tr>
      <w:tr>
        <w:trPr>
          <w:cantSplit/>
        </w:trPr>
        <w:tc>
          <w:tcPr>
            <w:tcW w:type="dxa" w:w="5200"/>
            <w:shd w:fill="FFFFFF"/>
          </w:tcPr>
          <w:p>
            <w:pPr>
              <w:spacing w:after="0"/>
            </w:pPr>
            <w:r>
              <w:rPr>
                <w:rFonts w:ascii="Calibri" w:hAnsi="Calibri"/>
                <w:color w:val="1F2937"/>
                <w:sz w:val="17"/>
              </w:rPr>
              <w:t>Are data and metrics valid?</w:t>
            </w:r>
          </w:p>
        </w:tc>
        <w:tc>
          <w:tcPr>
            <w:tcW w:type="dxa" w:w="4160"/>
            <w:shd w:fill="FFFFFF"/>
          </w:tcPr>
          <w:p>
            <w:pPr>
              <w:spacing w:after="0"/>
            </w:pPr>
            <w:r>
              <w:rPr>
                <w:rFonts w:ascii="Calibri" w:hAnsi="Calibri"/>
                <w:color w:val="1F2937"/>
                <w:sz w:val="17"/>
              </w:rPr>
              <w:t>Snapshot/data-quality and analytics validators</w:t>
            </w:r>
          </w:p>
        </w:tc>
      </w:tr>
      <w:tr>
        <w:trPr>
          <w:cantSplit/>
        </w:trPr>
        <w:tc>
          <w:tcPr>
            <w:tcW w:type="dxa" w:w="5200"/>
            <w:shd w:fill="F4F7FA"/>
          </w:tcPr>
          <w:p>
            <w:pPr>
              <w:spacing w:after="0"/>
            </w:pPr>
            <w:r>
              <w:rPr>
                <w:rFonts w:ascii="Calibri" w:hAnsi="Calibri"/>
                <w:color w:val="1F2937"/>
                <w:sz w:val="17"/>
              </w:rPr>
              <w:t>Which improvement is suggested?</w:t>
            </w:r>
          </w:p>
        </w:tc>
        <w:tc>
          <w:tcPr>
            <w:tcW w:type="dxa" w:w="4160"/>
            <w:shd w:fill="F4F7FA"/>
          </w:tcPr>
          <w:p>
            <w:pPr>
              <w:spacing w:after="0"/>
            </w:pPr>
            <w:r>
              <w:rPr>
                <w:rFonts w:ascii="Calibri" w:hAnsi="Calibri"/>
                <w:color w:val="1F2937"/>
                <w:sz w:val="17"/>
              </w:rPr>
              <w:t>Deterministic strategy policy; LLM only explains</w:t>
            </w:r>
          </w:p>
        </w:tc>
      </w:tr>
      <w:tr>
        <w:trPr>
          <w:cantSplit/>
        </w:trPr>
        <w:tc>
          <w:tcPr>
            <w:tcW w:type="dxa" w:w="5200"/>
            <w:shd w:fill="FFFFFF"/>
          </w:tcPr>
          <w:p>
            <w:pPr>
              <w:spacing w:after="0"/>
            </w:pPr>
            <w:r>
              <w:rPr>
                <w:rFonts w:ascii="Calibri" w:hAnsi="Calibri"/>
                <w:color w:val="1F2937"/>
                <w:sz w:val="17"/>
              </w:rPr>
              <w:t>Is recommendation ready?</w:t>
            </w:r>
          </w:p>
        </w:tc>
        <w:tc>
          <w:tcPr>
            <w:tcW w:type="dxa" w:w="4160"/>
            <w:shd w:fill="FFFFFF"/>
          </w:tcPr>
          <w:p>
            <w:pPr>
              <w:spacing w:after="0"/>
            </w:pPr>
            <w:r>
              <w:rPr>
                <w:rFonts w:ascii="Calibri" w:hAnsi="Calibri"/>
                <w:color w:val="1F2937"/>
                <w:sz w:val="17"/>
              </w:rPr>
              <w:t>Recommendation validator</w:t>
            </w:r>
          </w:p>
        </w:tc>
      </w:tr>
      <w:tr>
        <w:trPr>
          <w:cantSplit/>
        </w:trPr>
        <w:tc>
          <w:tcPr>
            <w:tcW w:type="dxa" w:w="5200"/>
            <w:shd w:fill="F4F7FA"/>
          </w:tcPr>
          <w:p>
            <w:pPr>
              <w:spacing w:after="0"/>
            </w:pPr>
            <w:r>
              <w:rPr>
                <w:rFonts w:ascii="Calibri" w:hAnsi="Calibri"/>
                <w:color w:val="1F2937"/>
                <w:sz w:val="17"/>
              </w:rPr>
              <w:t>Is a production rule changed?</w:t>
            </w:r>
          </w:p>
        </w:tc>
        <w:tc>
          <w:tcPr>
            <w:tcW w:type="dxa" w:w="4160"/>
            <w:shd w:fill="F4F7FA"/>
          </w:tcPr>
          <w:p>
            <w:pPr>
              <w:spacing w:after="0"/>
            </w:pPr>
            <w:r>
              <w:rPr>
                <w:rFonts w:ascii="Calibri" w:hAnsi="Calibri"/>
                <w:color w:val="1F2937"/>
                <w:sz w:val="17"/>
              </w:rPr>
              <w:t>Authorized human and existing EFRM governance</w:t>
            </w:r>
          </w:p>
        </w:tc>
      </w:tr>
    </w:tbl>
    <w:p>
      <w:pPr>
        <w:spacing w:after="40"/>
      </w:pPr>
    </w:p>
    <w:p>
      <w:pPr>
        <w:pStyle w:val="Heading2"/>
      </w:pPr>
      <w:r>
        <w:rPr>
          <w:rFonts w:ascii="Calibri" w:hAnsi="Calibri"/>
          <w:color w:val="1F2937"/>
          <w:sz w:val="21"/>
        </w:rPr>
        <w:t>A.2 Final management explanation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tcBorders>
              <w:top w:val="single" w:sz="12" w:space="0" w:color="1F5E86"/>
              <w:left w:val="single" w:sz="12" w:space="0" w:color="1F5E86"/>
              <w:bottom w:val="single" w:sz="12" w:space="0" w:color="1F5E86"/>
              <w:right w:val="single" w:sz="12" w:space="0" w:color="1F5E86"/>
              <w:insideH w:val="single" w:sz="12" w:space="0" w:color="1F5E86"/>
              <w:insideV w:val="single" w:sz="12" w:space="0" w:color="1F5E86"/>
            </w:tcBorders>
            <w:vAlign w:val="center"/>
            <w:shd w:fill="EAF2F7"/>
          </w:tcPr>
          <w:p>
            <w:pPr>
              <w:spacing w:after="0"/>
            </w:pPr>
            <w:r>
              <w:rPr>
                <w:rFonts w:ascii="Calibri" w:hAnsi="Calibri"/>
                <w:b/>
                <w:color w:val="1F5E86"/>
                <w:sz w:val="21"/>
              </w:rPr>
              <w:t xml:space="preserve">One sentence  </w:t>
            </w:r>
            <w:r>
              <w:rPr>
                <w:rFonts w:ascii="Calibri" w:hAnsi="Calibri"/>
                <w:color w:val="1F2937"/>
                <w:sz w:val="21"/>
              </w:rPr>
              <w:t>The Rule Optimization Agent finds finalized false-positive cases, traces them to the responsible rules, uses controlled SQL and deterministic Python analysis to build evidence, optionally uses an LLM to explain that evidence, and sends a validated recommendation to a human without changing any production rule.</w:t>
            </w:r>
          </w:p>
        </w:tc>
      </w:tr>
    </w:tbl>
    <w:p>
      <w:pPr>
        <w:spacing w:after="40"/>
      </w:pPr>
    </w:p>
    <w:p>
      <w:pPr>
        <w:pStyle w:val="Heading2"/>
      </w:pPr>
      <w:r>
        <w:rPr>
          <w:rFonts w:ascii="Calibri" w:hAnsi="Calibri"/>
          <w:color w:val="1F2937"/>
          <w:sz w:val="21"/>
        </w:rPr>
        <w:t>A.3 Final architecture decision</w:t>
      </w:r>
    </w:p>
    <w:p>
      <w:r>
        <w:rPr>
          <w:rFonts w:ascii="Calibri" w:hAnsi="Calibri"/>
          <w:color w:val="1F2937"/>
          <w:sz w:val="21"/>
        </w:rPr>
        <w:t>Use Python, FastAPI and LangGraph in a separate Agentic Platform repository. Use predefined, read-only SQL tools for current EFRM access, PostgreSQL for application data and checkpoints, object storage for large snapshots, and an optional LLM only for explanation. Keep RAG available for future policy/document context, but do not use it as the source of transaction, case or rule truth.</w:t>
      </w:r>
    </w:p>
    <w:sectPr w:rsidR="00FC693F" w:rsidRPr="0006063C" w:rsidSect="00034616">
      <w:headerReference w:type="default" r:id="rId9"/>
      <w:footerReference w:type="default" r:id="rId10"/>
      <w:pgSz w:w="12240" w:h="15840"/>
      <w:pgMar w:top="1123"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A"/>
        <w:sz w:val="17"/>
      </w:rPr>
      <w:t xml:space="preserve">Internal architecture baseline  |  Page </w:t>
    </w:r>
    <w:r>
      <w:rPr>
        <w:rFonts w:ascii="Calibri" w:hAnsi="Calibri"/>
        <w:color w:val="5B677A"/>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77A"/>
        <w:sz w:val="17"/>
      </w:rPr>
      <w:t>EFRM AI AGENTIC PLATFORM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0">
    <w:nsid w:val="00000384"/>
    <w:multiLevelType w:val="singleLevel"/>
    <w:lvl w:ilvl="0">
      <w:start w:val="1"/>
      <w:numFmt w:val="bullet"/>
      <w:lvlText w:val=""/>
      <w:lvlJc w:val="left"/>
      <w:pPr>
        <w:ind w:left="720" w:hanging="360"/>
      </w:pPr>
      <w:rPr>
        <w:rFonts w:ascii="Symbol" w:hAnsi="Symbol"/>
      </w:rPr>
    </w:lvl>
  </w:abstractNum>
  <w:num w:numId="900">
    <w:abstractNumId w:val="900"/>
  </w:num>
  <w:abstractNum w:abstractNumId="901">
    <w:nsid w:val="00000385"/>
    <w:multiLevelType w:val="singleLevel"/>
    <w:lvl w:ilvl="0">
      <w:start w:val="1"/>
      <w:numFmt w:val="decimal"/>
      <w:lvlText w:val="%1."/>
      <w:lvlJc w:val="left"/>
      <w:pPr>
        <w:ind w:left="720" w:hanging="360"/>
      </w:pPr>
    </w:lvl>
  </w:abstract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5E8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5E8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EFRM Rule Optimization Agent - Enterprise PRD</dc:title>
  <dc:subject>Final scope, workflow, data contracts and implementation requirements</dc:subject>
  <dc:creator>Agentic Platform Architecture</dc:creator>
  <cp:keywords>EFRM, rule optimization, LangGraph, recommendation, false positive, fintech</cp:keywords>
  <dc:description>generated by python-docx</dc:description>
  <cp:lastModifiedBy/>
  <cp:revision>1</cp:revision>
  <dcterms:created xsi:type="dcterms:W3CDTF">2013-12-23T23:15:00Z</dcterms:created>
  <dcterms:modified xsi:type="dcterms:W3CDTF">2013-12-23T23:15:00Z</dcterms:modified>
  <cp:category/>
</cp:coreProperties>
</file>