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00" w:line="264" w:lineRule="auto"/>
        <w:jc w:val="left"/>
      </w:pPr>
      <w:r>
        <w:rPr>
          <w:rFonts w:ascii="Calibri" w:hAnsi="Calibri"/>
          <w:b/>
          <w:i w:val="0"/>
          <w:color w:val="168891"/>
          <w:sz w:val="20"/>
        </w:rPr>
        <w:t>EXECUTIVE ARCHITECTURE BRIEF</w:t>
      </w:r>
    </w:p>
    <w:p>
      <w:pPr>
        <w:keepNext w:val="0"/>
        <w:spacing w:before="0" w:after="60" w:line="264" w:lineRule="auto"/>
        <w:jc w:val="left"/>
      </w:pPr>
      <w:r>
        <w:rPr>
          <w:rFonts w:ascii="Calibri" w:hAnsi="Calibri"/>
          <w:b/>
          <w:i w:val="0"/>
          <w:color w:val="16364F"/>
          <w:sz w:val="50"/>
        </w:rPr>
        <w:t>EFRM Rule Optimization Agent</w:t>
      </w:r>
    </w:p>
    <w:p>
      <w:pPr>
        <w:keepNext w:val="0"/>
        <w:spacing w:before="0" w:after="200" w:line="264" w:lineRule="auto"/>
        <w:jc w:val="left"/>
      </w:pPr>
      <w:r>
        <w:rPr>
          <w:rFonts w:ascii="Calibri" w:hAnsi="Calibri"/>
          <w:b w:val="0"/>
          <w:i w:val="0"/>
          <w:color w:val="66727E"/>
          <w:sz w:val="26"/>
        </w:rPr>
        <w:t>Clear architecture and step-by-step working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  <w:shd w:fill="16364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TRIGGER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  <w:shd w:fill="16364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DECISION SUPPORT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  <w:shd w:fill="16364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3120"/>
            <w:shd w:fill="E8F4F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6364F"/>
                <w:sz w:val="18"/>
              </w:rPr>
              <w:t>Final false-positive case</w:t>
            </w:r>
          </w:p>
        </w:tc>
        <w:tc>
          <w:tcPr>
            <w:tcW w:type="dxa" w:w="312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6364F"/>
                <w:sz w:val="18"/>
              </w:rPr>
              <w:t>Evidence-based recommendation</w:t>
            </w:r>
          </w:p>
        </w:tc>
        <w:tc>
          <w:tcPr>
            <w:tcW w:type="dxa" w:w="3120"/>
            <w:shd w:fill="EAF4E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6364F"/>
                <w:sz w:val="18"/>
              </w:rPr>
              <w:t>Human governance only</w:t>
            </w:r>
          </w:p>
        </w:tc>
      </w:tr>
    </w:tbl>
    <w:p>
      <w:pPr>
        <w:spacing w:before="60" w:after="120" w:line="264" w:lineRule="auto"/>
        <w:ind w:left="144" w:right="115"/>
        <w:shd w:fill="E8F4F4"/>
        <w:pBdr>
          <w:left w:val="single" w:sz="22" w:space="8" w:color="168891"/>
        </w:pBdr>
      </w:pPr>
      <w:r>
        <w:rPr>
          <w:rFonts w:ascii="Calibri" w:hAnsi="Calibri"/>
          <w:b/>
          <w:i w:val="0"/>
          <w:color w:val="16364F"/>
          <w:sz w:val="21"/>
        </w:rPr>
        <w:t xml:space="preserve">In one sentence  </w:t>
      </w:r>
      <w:r>
        <w:rPr>
          <w:rFonts w:ascii="Calibri" w:hAnsi="Calibri"/>
          <w:b w:val="0"/>
          <w:i w:val="0"/>
          <w:color w:val="1F2D3A"/>
          <w:sz w:val="21"/>
        </w:rPr>
        <w:t>When a finalized case is mapped to false positive, the Agent finds the rules that truly contributed, studies their complete historical evidence, optionally tests a safe candidate, and sends one recommendation to a human reviewer.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70448" cy="2876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2876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60" w:line="264" w:lineRule="auto"/>
        <w:jc w:val="center"/>
      </w:pPr>
      <w:r>
        <w:rPr>
          <w:rFonts w:ascii="Calibri" w:hAnsi="Calibri"/>
          <w:b w:val="0"/>
          <w:i/>
          <w:color w:val="66727E"/>
          <w:sz w:val="17"/>
        </w:rPr>
        <w:t>Logical components are modules, not mandatory microservices. Existing EFRM remains the source of truth.</w:t>
      </w:r>
    </w:p>
    <w:p>
      <w:pPr>
        <w:spacing w:before="60" w:after="0" w:line="264" w:lineRule="auto"/>
        <w:ind w:left="144" w:right="115"/>
        <w:shd w:fill="EAF4EA"/>
        <w:pBdr>
          <w:left w:val="single" w:sz="22" w:space="8" w:color="4C8A4B"/>
        </w:pBdr>
      </w:pPr>
      <w:r>
        <w:rPr>
          <w:rFonts w:ascii="Calibri" w:hAnsi="Calibri"/>
          <w:b/>
          <w:i w:val="0"/>
          <w:color w:val="16364F"/>
          <w:sz w:val="21"/>
        </w:rPr>
        <w:t xml:space="preserve">Core trust rule  </w:t>
      </w:r>
      <w:r>
        <w:rPr>
          <w:rFonts w:ascii="Calibri" w:hAnsi="Calibri"/>
          <w:b w:val="0"/>
          <w:i w:val="0"/>
          <w:color w:val="1F2D3A"/>
          <w:sz w:val="21"/>
        </w:rPr>
        <w:t>Deterministic services create the facts. The optional LLM explains approved facts. Humans control every production decision.</w:t>
      </w:r>
    </w:p>
    <w:p>
      <w:r>
        <w:br w:type="page"/>
      </w:r>
    </w:p>
    <w:p>
      <w:pPr>
        <w:pStyle w:val="Heading1"/>
      </w:pPr>
      <w:r>
        <w:t>End-to-end workflow - Steps 1 to 4</w:t>
      </w:r>
    </w:p>
    <w:p>
      <w:pPr>
        <w:keepNext w:val="0"/>
        <w:spacing w:before="0" w:after="60" w:line="264" w:lineRule="auto"/>
        <w:jc w:val="left"/>
      </w:pPr>
      <w:r>
        <w:rPr>
          <w:rFonts w:ascii="Calibri" w:hAnsi="Calibri"/>
          <w:b w:val="0"/>
          <w:i w:val="0"/>
          <w:color w:val="66727E"/>
          <w:sz w:val="20"/>
        </w:rPr>
        <w:t>The false-positive case selects possible rules for investigation. It does not prove that every alert or matched rule is wrong.</w:t>
      </w:r>
    </w:p>
    <w:p>
      <w:pPr>
        <w:keepNext/>
        <w:spacing w:before="120" w:after="60"/>
        <w:shd w:fill="EAF2F8"/>
        <w:pBdr>
          <w:left w:val="single" w:sz="22" w:space="8" w:color="2E74B5"/>
        </w:pBdr>
      </w:pPr>
      <w:r>
        <w:rPr>
          <w:rFonts w:ascii="Calibri" w:hAnsi="Calibri"/>
          <w:b/>
          <w:i w:val="0"/>
          <w:color w:val="168891"/>
          <w:sz w:val="22"/>
        </w:rPr>
        <w:t xml:space="preserve">STEP 1  </w:t>
      </w:r>
      <w:r>
        <w:rPr>
          <w:rFonts w:ascii="Calibri" w:hAnsi="Calibri"/>
          <w:b/>
          <w:i w:val="0"/>
          <w:color w:val="16364F"/>
          <w:sz w:val="22"/>
        </w:rPr>
        <w:t>Receive and confirm the trigger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Input: </w:t>
      </w:r>
      <w:r>
        <w:rPr>
          <w:rFonts w:ascii="Calibri" w:hAnsi="Calibri"/>
          <w:b w:val="0"/>
          <w:i w:val="0"/>
          <w:color w:val="1F2D3A"/>
          <w:sz w:val="19"/>
        </w:rPr>
        <w:t>Institution, case, decision/action identity, final decision code and event time.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Processing: </w:t>
      </w:r>
      <w:r>
        <w:rPr>
          <w:rFonts w:ascii="Calibri" w:hAnsi="Calibri"/>
          <w:b w:val="0"/>
          <w:i w:val="0"/>
          <w:color w:val="1F2D3A"/>
          <w:sz w:val="19"/>
        </w:rPr>
        <w:t>Case outbox/API/poller feeds one authenticated contract; inbox deduplicates; Outcome Resolver re-reads the authoritative case and applies the effective institution mapping.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Technique: </w:t>
      </w:r>
      <w:r>
        <w:rPr>
          <w:rFonts w:ascii="Calibri" w:hAnsi="Calibri"/>
          <w:b w:val="0"/>
          <w:i w:val="0"/>
          <w:color w:val="1F2D3A"/>
          <w:sz w:val="19"/>
        </w:rPr>
        <w:t>Spring Boot backend logic, PostgreSQL inbox/job state, service authentication and idempotency.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LLM: </w:t>
      </w:r>
      <w:r>
        <w:rPr>
          <w:rFonts w:ascii="Calibri" w:hAnsi="Calibri"/>
          <w:b w:val="0"/>
          <w:i w:val="0"/>
          <w:color w:val="1F2D3A"/>
          <w:sz w:val="19"/>
        </w:rPr>
        <w:t>No. Decision-code interpretation must be exact.</w:t>
      </w:r>
    </w:p>
    <w:p>
      <w:pPr>
        <w:pStyle w:val="ListBullet"/>
        <w:spacing w:after="6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Output: </w:t>
      </w:r>
      <w:r>
        <w:rPr>
          <w:rFonts w:ascii="Calibri" w:hAnsi="Calibri"/>
          <w:b w:val="0"/>
          <w:i w:val="0"/>
          <w:color w:val="1F2D3A"/>
          <w:sz w:val="19"/>
        </w:rPr>
        <w:t>Accepted false-positive case-analysis job, or an explicit ignored/rejected reason.</w:t>
      </w:r>
    </w:p>
    <w:p>
      <w:pPr>
        <w:keepNext/>
        <w:spacing w:before="120" w:after="60"/>
        <w:shd w:fill="EAF2F8"/>
        <w:pBdr>
          <w:left w:val="single" w:sz="22" w:space="8" w:color="2E74B5"/>
        </w:pBdr>
      </w:pPr>
      <w:r>
        <w:rPr>
          <w:rFonts w:ascii="Calibri" w:hAnsi="Calibri"/>
          <w:b/>
          <w:i w:val="0"/>
          <w:color w:val="168891"/>
          <w:sz w:val="22"/>
        </w:rPr>
        <w:t xml:space="preserve">STEP 2  </w:t>
      </w:r>
      <w:r>
        <w:rPr>
          <w:rFonts w:ascii="Calibri" w:hAnsi="Calibri"/>
          <w:b/>
          <w:i w:val="0"/>
          <w:color w:val="16364F"/>
          <w:sz w:val="22"/>
        </w:rPr>
        <w:t>Trace the case and attribute contributing rules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Input: </w:t>
      </w:r>
      <w:r>
        <w:rPr>
          <w:rFonts w:ascii="Calibri" w:hAnsi="Calibri"/>
          <w:b w:val="0"/>
          <w:i w:val="0"/>
          <w:color w:val="1F2D3A"/>
          <w:sz w:val="19"/>
        </w:rPr>
        <w:t>Accepted case-analysis job.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Processing: </w:t>
      </w:r>
      <w:r>
        <w:rPr>
          <w:rFonts w:ascii="Calibri" w:hAnsi="Calibri"/>
          <w:b w:val="0"/>
          <w:i w:val="0"/>
          <w:color w:val="1F2D3A"/>
          <w:sz w:val="19"/>
        </w:rPr>
        <w:t>Follow case -&gt; alerts -&gt; results -&gt; stored matches; process each alert separately; reproduce group and decision context to classify primary, supporting, coincidental or unresolved rules.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Technique: </w:t>
      </w:r>
      <w:r>
        <w:rPr>
          <w:rFonts w:ascii="Calibri" w:hAnsi="Calibri"/>
          <w:b w:val="0"/>
          <w:i w:val="0"/>
          <w:color w:val="1F2D3A"/>
          <w:sz w:val="19"/>
        </w:rPr>
        <w:t>Approved read APIs or reviewed parameterized SQL plus deterministic attribution logic.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LLM: </w:t>
      </w:r>
      <w:r>
        <w:rPr>
          <w:rFonts w:ascii="Calibri" w:hAnsi="Calibri"/>
          <w:b w:val="0"/>
          <w:i w:val="0"/>
          <w:color w:val="1F2D3A"/>
          <w:sz w:val="19"/>
        </w:rPr>
        <w:t>No. Relationships and contribution must be reproducible.</w:t>
      </w:r>
    </w:p>
    <w:p>
      <w:pPr>
        <w:pStyle w:val="ListBullet"/>
        <w:spacing w:after="6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Output: </w:t>
      </w:r>
      <w:r>
        <w:rPr>
          <w:rFonts w:ascii="Calibri" w:hAnsi="Calibri"/>
          <w:b w:val="0"/>
          <w:i w:val="0"/>
          <w:color w:val="1F2D3A"/>
          <w:sz w:val="19"/>
        </w:rPr>
        <w:t>Evidence-linked CaseRuleLineage; only primary/policy-approved supporting rules continue.</w:t>
      </w:r>
    </w:p>
    <w:p>
      <w:pPr>
        <w:keepNext/>
        <w:spacing w:before="120" w:after="60"/>
        <w:shd w:fill="EAF2F8"/>
        <w:pBdr>
          <w:left w:val="single" w:sz="22" w:space="8" w:color="2E74B5"/>
        </w:pBdr>
      </w:pPr>
      <w:r>
        <w:rPr>
          <w:rFonts w:ascii="Calibri" w:hAnsi="Calibri"/>
          <w:b/>
          <w:i w:val="0"/>
          <w:color w:val="168891"/>
          <w:sz w:val="22"/>
        </w:rPr>
        <w:t xml:space="preserve">STEP 3  </w:t>
      </w:r>
      <w:r>
        <w:rPr>
          <w:rFonts w:ascii="Calibri" w:hAnsi="Calibri"/>
          <w:b/>
          <w:i w:val="0"/>
          <w:color w:val="16364F"/>
          <w:sz w:val="22"/>
        </w:rPr>
        <w:t>Resolve exact historical and current configuration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Input: </w:t>
      </w:r>
      <w:r>
        <w:rPr>
          <w:rFonts w:ascii="Calibri" w:hAnsi="Calibri"/>
          <w:b w:val="0"/>
          <w:i w:val="0"/>
          <w:color w:val="1F2D3A"/>
          <w:sz w:val="19"/>
        </w:rPr>
        <w:t>Attributed rule reference, institution, event time and execution-manifest reference.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Processing: </w:t>
      </w:r>
      <w:r>
        <w:rPr>
          <w:rFonts w:ascii="Calibri" w:hAnsi="Calibri"/>
          <w:b w:val="0"/>
          <w:i w:val="0"/>
          <w:color w:val="1F2D3A"/>
          <w:sz w:val="19"/>
        </w:rPr>
        <w:t>Load the production-time execution manifest, historical rule bundle and current bundle; resolve rule/group/policy/metric/reference/compiler versions and compare current relevance.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Technique: </w:t>
      </w:r>
      <w:r>
        <w:rPr>
          <w:rFonts w:ascii="Calibri" w:hAnsi="Calibri"/>
          <w:b w:val="0"/>
          <w:i w:val="0"/>
          <w:color w:val="1F2D3A"/>
          <w:sz w:val="19"/>
        </w:rPr>
        <w:t>Configuration Resolver behind RuleConfigurationPort; version IDs and SHA-256 hashes.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LLM: </w:t>
      </w:r>
      <w:r>
        <w:rPr>
          <w:rFonts w:ascii="Calibri" w:hAnsi="Calibri"/>
          <w:b w:val="0"/>
          <w:i w:val="0"/>
          <w:color w:val="1F2D3A"/>
          <w:sz w:val="19"/>
        </w:rPr>
        <w:t>No. Configuration resolution is an identity and history problem.</w:t>
      </w:r>
    </w:p>
    <w:p>
      <w:pPr>
        <w:pStyle w:val="ListBullet"/>
        <w:spacing w:after="6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Output: </w:t>
      </w:r>
      <w:r>
        <w:rPr>
          <w:rFonts w:ascii="Calibri" w:hAnsi="Calibri"/>
          <w:b w:val="0"/>
          <w:i w:val="0"/>
          <w:color w:val="1F2D3A"/>
          <w:sz w:val="19"/>
        </w:rPr>
        <w:t>Immutable historical/current bundles, hashes and a relevance or ambiguity result.</w:t>
      </w:r>
    </w:p>
    <w:p>
      <w:pPr>
        <w:keepNext/>
        <w:spacing w:before="120" w:after="60"/>
        <w:shd w:fill="EAF2F8"/>
        <w:pBdr>
          <w:left w:val="single" w:sz="22" w:space="8" w:color="2E74B5"/>
        </w:pBdr>
      </w:pPr>
      <w:r>
        <w:rPr>
          <w:rFonts w:ascii="Calibri" w:hAnsi="Calibri"/>
          <w:b/>
          <w:i w:val="0"/>
          <w:color w:val="168891"/>
          <w:sz w:val="22"/>
        </w:rPr>
        <w:t xml:space="preserve">STEP 4  </w:t>
      </w:r>
      <w:r>
        <w:rPr>
          <w:rFonts w:ascii="Calibri" w:hAnsi="Calibri"/>
          <w:b/>
          <w:i w:val="0"/>
          <w:color w:val="16364F"/>
          <w:sz w:val="22"/>
        </w:rPr>
        <w:t>Build a frozen historical evidence snapshot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Input: </w:t>
      </w:r>
      <w:r>
        <w:rPr>
          <w:rFonts w:ascii="Calibri" w:hAnsi="Calibri"/>
          <w:b w:val="0"/>
          <w:i w:val="0"/>
          <w:color w:val="1F2D3A"/>
          <w:sz w:val="19"/>
        </w:rPr>
        <w:t>Resolved rule bundles, windows, required fields, metric versions and institution scope.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Processing: </w:t>
      </w:r>
      <w:r>
        <w:rPr>
          <w:rFonts w:ascii="Calibri" w:hAnsi="Calibri"/>
          <w:b w:val="0"/>
          <w:i w:val="0"/>
          <w:color w:val="1F2D3A"/>
          <w:sz w:val="19"/>
        </w:rPr>
        <w:t>Retrieve the full eligible population - fired and non-fired events, mature outcomes and required facts - then freeze it with query/configuration/payload hashes.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Technique: </w:t>
      </w:r>
      <w:r>
        <w:rPr>
          <w:rFonts w:ascii="Calibri" w:hAnsi="Calibri"/>
          <w:b w:val="0"/>
          <w:i w:val="0"/>
          <w:color w:val="1F2D3A"/>
          <w:sz w:val="19"/>
        </w:rPr>
        <w:t>Read-only API/replica/analytical store, governed Metric SQL Executor, PostgreSQL metadata and optional Parquet/object storage.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LLM: </w:t>
      </w:r>
      <w:r>
        <w:rPr>
          <w:rFonts w:ascii="Calibri" w:hAnsi="Calibri"/>
          <w:b w:val="0"/>
          <w:i w:val="0"/>
          <w:color w:val="1F2D3A"/>
          <w:sz w:val="19"/>
        </w:rPr>
        <w:t>No. The LLM never writes or executes SQL.</w:t>
      </w:r>
    </w:p>
    <w:p>
      <w:pPr>
        <w:pStyle w:val="ListBullet"/>
        <w:spacing w:after="6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Output: </w:t>
      </w:r>
      <w:r>
        <w:rPr>
          <w:rFonts w:ascii="Calibri" w:hAnsi="Calibri"/>
          <w:b w:val="0"/>
          <w:i w:val="0"/>
          <w:color w:val="1F2D3A"/>
          <w:sz w:val="19"/>
        </w:rPr>
        <w:t>Immutable snapshot plus READY, READY_WITH_LIMITS or a named stop status.</w:t>
      </w:r>
    </w:p>
    <w:p>
      <w:r>
        <w:br w:type="page"/>
      </w:r>
    </w:p>
    <w:p>
      <w:pPr>
        <w:pStyle w:val="Heading1"/>
      </w:pPr>
      <w:r>
        <w:t>End-to-end workflow - Steps 5 to 8</w:t>
      </w:r>
    </w:p>
    <w:p>
      <w:pPr>
        <w:keepNext/>
        <w:spacing w:before="120" w:after="60"/>
        <w:shd w:fill="EAF2F8"/>
        <w:pBdr>
          <w:left w:val="single" w:sz="22" w:space="8" w:color="2E74B5"/>
        </w:pBdr>
      </w:pPr>
      <w:r>
        <w:rPr>
          <w:rFonts w:ascii="Calibri" w:hAnsi="Calibri"/>
          <w:b/>
          <w:i w:val="0"/>
          <w:color w:val="168891"/>
          <w:sz w:val="22"/>
        </w:rPr>
        <w:t xml:space="preserve">STEP 5  </w:t>
      </w:r>
      <w:r>
        <w:rPr>
          <w:rFonts w:ascii="Calibri" w:hAnsi="Calibri"/>
          <w:b/>
          <w:i w:val="0"/>
          <w:color w:val="16364F"/>
          <w:sz w:val="22"/>
        </w:rPr>
        <w:t>Calculate trusted rule findings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Input: </w:t>
      </w:r>
      <w:r>
        <w:rPr>
          <w:rFonts w:ascii="Calibri" w:hAnsi="Calibri"/>
          <w:b w:val="0"/>
          <w:i w:val="0"/>
          <w:color w:val="1F2D3A"/>
          <w:sz w:val="19"/>
        </w:rPr>
        <w:t>Frozen snapshot, current/historical rule bundles and institution analysis policy.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Processing: </w:t>
      </w:r>
      <w:r>
        <w:rPr>
          <w:rFonts w:ascii="Calibri" w:hAnsi="Calibri"/>
          <w:b w:val="0"/>
          <w:i w:val="0"/>
          <w:color w:val="1F2D3A"/>
          <w:sz w:val="19"/>
        </w:rPr>
        <w:t>Calculate fire rate, alert conversion, internal false-positive burden, mature outcome yield, repeat burden, overlap, threshold proximity, data quality, decay and internal leakage indicators.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Technique: </w:t>
      </w:r>
      <w:r>
        <w:rPr>
          <w:rFonts w:ascii="Calibri" w:hAnsi="Calibri"/>
          <w:b w:val="0"/>
          <w:i w:val="0"/>
          <w:color w:val="1F2D3A"/>
          <w:sz w:val="19"/>
        </w:rPr>
        <w:t>SQL plus deterministic Python statistics: Polars/pandas, NumPy, SciPy and approved EWMA/CUSUM/change-point methods.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LLM: </w:t>
      </w:r>
      <w:r>
        <w:rPr>
          <w:rFonts w:ascii="Calibri" w:hAnsi="Calibri"/>
          <w:b w:val="0"/>
          <w:i w:val="0"/>
          <w:color w:val="1F2D3A"/>
          <w:sz w:val="19"/>
        </w:rPr>
        <w:t>No for authoritative metrics.</w:t>
      </w:r>
    </w:p>
    <w:p>
      <w:pPr>
        <w:pStyle w:val="ListBullet"/>
        <w:spacing w:after="6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Output: </w:t>
      </w:r>
      <w:r>
        <w:rPr>
          <w:rFonts w:ascii="Calibri" w:hAnsi="Calibri"/>
          <w:b w:val="0"/>
          <w:i w:val="0"/>
          <w:color w:val="1F2D3A"/>
          <w:sz w:val="19"/>
        </w:rPr>
        <w:t>RuleFindingSet with denominators, uncertainty, limitations and evidence IDs.</w:t>
      </w:r>
    </w:p>
    <w:p>
      <w:pPr>
        <w:keepNext/>
        <w:spacing w:before="120" w:after="60"/>
        <w:shd w:fill="FFF2DF"/>
        <w:pBdr>
          <w:left w:val="single" w:sz="22" w:space="8" w:color="ED8A19"/>
        </w:pBdr>
      </w:pPr>
      <w:r>
        <w:rPr>
          <w:rFonts w:ascii="Calibri" w:hAnsi="Calibri"/>
          <w:b/>
          <w:i w:val="0"/>
          <w:color w:val="ED8A19"/>
          <w:sz w:val="22"/>
        </w:rPr>
        <w:t xml:space="preserve">STEP 6  </w:t>
      </w:r>
      <w:r>
        <w:rPr>
          <w:rFonts w:ascii="Calibri" w:hAnsi="Calibri"/>
          <w:b/>
          <w:i w:val="0"/>
          <w:color w:val="16364F"/>
          <w:sz w:val="22"/>
        </w:rPr>
        <w:t>Form bounded improvement strategies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Input: </w:t>
      </w:r>
      <w:r>
        <w:rPr>
          <w:rFonts w:ascii="Calibri" w:hAnsi="Calibri"/>
          <w:b w:val="0"/>
          <w:i w:val="0"/>
          <w:color w:val="1F2D3A"/>
          <w:sz w:val="19"/>
        </w:rPr>
        <w:t>Verified findings, structured current rule, allowed mutations, ranges and alert-volume constraint.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Processing: </w:t>
      </w:r>
      <w:r>
        <w:rPr>
          <w:rFonts w:ascii="Calibri" w:hAnsi="Calibri"/>
          <w:b w:val="0"/>
          <w:i w:val="0"/>
          <w:color w:val="1F2D3A"/>
          <w:sz w:val="19"/>
        </w:rPr>
        <w:t>Deterministic generator enumerates approved threshold/window/condition changes; optional LLM connects verified patterns into bounded hypotheses and plain-English reasoning.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Technique: </w:t>
      </w:r>
      <w:r>
        <w:rPr>
          <w:rFonts w:ascii="Calibri" w:hAnsi="Calibri"/>
          <w:b w:val="0"/>
          <w:i w:val="0"/>
          <w:color w:val="1F2D3A"/>
          <w:sz w:val="19"/>
        </w:rPr>
        <w:t>Java strategy module, Python search functions, JSON Schema and provider-neutral Model Gateway.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LLM: </w:t>
      </w:r>
      <w:r>
        <w:rPr>
          <w:rFonts w:ascii="Calibri" w:hAnsi="Calibri"/>
          <w:b w:val="0"/>
          <w:i w:val="0"/>
          <w:color w:val="1F2D3A"/>
          <w:sz w:val="19"/>
        </w:rPr>
        <w:t>Optional and useful here; it receives only approved evidence and cannot invent metrics or write rule code.</w:t>
      </w:r>
    </w:p>
    <w:p>
      <w:pPr>
        <w:pStyle w:val="ListBullet"/>
        <w:spacing w:after="6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Output: </w:t>
      </w:r>
      <w:r>
        <w:rPr>
          <w:rFonts w:ascii="Calibri" w:hAnsi="Calibri"/>
          <w:b w:val="0"/>
          <w:i w:val="0"/>
          <w:color w:val="1F2D3A"/>
          <w:sz w:val="19"/>
        </w:rPr>
        <w:t>CandidateStrategySet containing testable candidates or structured human change proposals.</w:t>
      </w:r>
    </w:p>
    <w:p>
      <w:pPr>
        <w:keepNext/>
        <w:spacing w:before="120" w:after="60"/>
        <w:shd w:fill="FFF2DF"/>
        <w:pBdr>
          <w:left w:val="single" w:sz="22" w:space="8" w:color="ED8A19"/>
        </w:pBdr>
      </w:pPr>
      <w:r>
        <w:rPr>
          <w:rFonts w:ascii="Calibri" w:hAnsi="Calibri"/>
          <w:b/>
          <w:i w:val="0"/>
          <w:color w:val="ED8A19"/>
          <w:sz w:val="22"/>
        </w:rPr>
        <w:t xml:space="preserve">STEP 7  </w:t>
      </w:r>
      <w:r>
        <w:rPr>
          <w:rFonts w:ascii="Calibri" w:hAnsi="Calibri"/>
          <w:b/>
          <w:i w:val="0"/>
          <w:color w:val="16364F"/>
          <w:sz w:val="22"/>
        </w:rPr>
        <w:t>Execute the institution's configured mode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Candidate + Test: </w:t>
      </w:r>
      <w:r>
        <w:rPr>
          <w:rFonts w:ascii="Calibri" w:hAnsi="Calibri"/>
          <w:b w:val="0"/>
          <w:i w:val="0"/>
          <w:color w:val="1F2D3A"/>
          <w:sz w:val="19"/>
        </w:rPr>
        <w:t>Create candidate JSON only in optimizer storage; validate; compile through RuleCompilerPort; prove historical parity; replay current and candidate on the identical frozen cohort/context.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Recommendation Only: </w:t>
      </w:r>
      <w:r>
        <w:rPr>
          <w:rFonts w:ascii="Calibri" w:hAnsi="Calibri"/>
          <w:b w:val="0"/>
          <w:i w:val="0"/>
          <w:color w:val="1F2D3A"/>
          <w:sz w:val="19"/>
        </w:rPr>
        <w:t>Do not create executable candidate JSON/DRL and do not run candidate backtesting; convert verified findings into human review advice with an explicit no-backtest limitation.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Technique: </w:t>
      </w:r>
      <w:r>
        <w:rPr>
          <w:rFonts w:ascii="Calibri" w:hAnsi="Calibri"/>
          <w:b w:val="0"/>
          <w:i w:val="0"/>
          <w:color w:val="1F2D3A"/>
          <w:sz w:val="19"/>
        </w:rPr>
        <w:t>Mode Router, Candidate Validator, isolated Java/Drools RuleReplayPort and deterministic result comparison.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LLM: </w:t>
      </w:r>
      <w:r>
        <w:rPr>
          <w:rFonts w:ascii="Calibri" w:hAnsi="Calibri"/>
          <w:b w:val="0"/>
          <w:i w:val="0"/>
          <w:color w:val="1F2D3A"/>
          <w:sz w:val="19"/>
        </w:rPr>
        <w:t>Optional explanation only; never compilation or execution.</w:t>
      </w:r>
    </w:p>
    <w:p>
      <w:pPr>
        <w:pStyle w:val="ListBullet"/>
        <w:spacing w:after="6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Output: </w:t>
      </w:r>
      <w:r>
        <w:rPr>
          <w:rFonts w:ascii="Calibri" w:hAnsi="Calibri"/>
          <w:b w:val="0"/>
          <w:i w:val="0"/>
          <w:color w:val="1F2D3A"/>
          <w:sz w:val="19"/>
        </w:rPr>
        <w:t>Mode-specific evidence: simulation comparison or analysis-only proposal.</w:t>
      </w:r>
    </w:p>
    <w:p>
      <w:pPr>
        <w:keepNext/>
        <w:spacing w:before="120" w:after="60"/>
        <w:shd w:fill="EAF2F8"/>
        <w:pBdr>
          <w:left w:val="single" w:sz="22" w:space="8" w:color="2E74B5"/>
        </w:pBdr>
      </w:pPr>
      <w:r>
        <w:rPr>
          <w:rFonts w:ascii="Calibri" w:hAnsi="Calibri"/>
          <w:b/>
          <w:i w:val="0"/>
          <w:color w:val="168891"/>
          <w:sz w:val="22"/>
        </w:rPr>
        <w:t xml:space="preserve">STEP 8  </w:t>
      </w:r>
      <w:r>
        <w:rPr>
          <w:rFonts w:ascii="Calibri" w:hAnsi="Calibri"/>
          <w:b/>
          <w:i w:val="0"/>
          <w:color w:val="16364F"/>
          <w:sz w:val="22"/>
        </w:rPr>
        <w:t>Publish one evidence-linked recommendation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Input: </w:t>
      </w:r>
      <w:r>
        <w:rPr>
          <w:rFonts w:ascii="Calibri" w:hAnsi="Calibri"/>
          <w:b w:val="0"/>
          <w:i w:val="0"/>
          <w:color w:val="1F2D3A"/>
          <w:sz w:val="19"/>
        </w:rPr>
        <w:t>Verified findings, candidate/simulation status, policy/configuration versions, evidence IDs and limitations.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Processing: </w:t>
      </w:r>
      <w:r>
        <w:rPr>
          <w:rFonts w:ascii="Calibri" w:hAnsi="Calibri"/>
          <w:b w:val="0"/>
          <w:i w:val="0"/>
          <w:color w:val="1F2D3A"/>
          <w:sz w:val="19"/>
        </w:rPr>
        <w:t>Build canonical recommendation JSON first; Claim Validator checks every number, scope, evidence link, allowed statement and production-action restriction.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Technique: </w:t>
      </w:r>
      <w:r>
        <w:rPr>
          <w:rFonts w:ascii="Calibri" w:hAnsi="Calibri"/>
          <w:b w:val="0"/>
          <w:i w:val="0"/>
          <w:color w:val="1F2D3A"/>
          <w:sz w:val="19"/>
        </w:rPr>
        <w:t>Spring Boot Recommendation Composer, PostgreSQL evidence metadata, secured API/UI and immutable audit.</w:t>
      </w:r>
    </w:p>
    <w:p>
      <w:pPr>
        <w:pStyle w:val="ListBullet"/>
        <w:spacing w:after="3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LLM: </w:t>
      </w:r>
      <w:r>
        <w:rPr>
          <w:rFonts w:ascii="Calibri" w:hAnsi="Calibri"/>
          <w:b w:val="0"/>
          <w:i w:val="0"/>
          <w:color w:val="1F2D3A"/>
          <w:sz w:val="19"/>
        </w:rPr>
        <w:t>Optional for summary and the readable 'why'; deterministic template is the fallback.</w:t>
      </w:r>
    </w:p>
    <w:p>
      <w:pPr>
        <w:pStyle w:val="ListBullet"/>
        <w:spacing w:after="6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19"/>
        </w:rPr>
        <w:t xml:space="preserve">Output: </w:t>
      </w:r>
      <w:r>
        <w:rPr>
          <w:rFonts w:ascii="Calibri" w:hAnsi="Calibri"/>
          <w:b w:val="0"/>
          <w:i w:val="0"/>
          <w:color w:val="1F2D3A"/>
          <w:sz w:val="19"/>
        </w:rPr>
        <w:t>REVIEW_REQUIRED recommendation for a human; the workflow does not change production.</w:t>
      </w:r>
    </w:p>
    <w:p>
      <w:r>
        <w:br w:type="page"/>
      </w:r>
    </w:p>
    <w:p>
      <w:pPr>
        <w:pStyle w:val="Heading1"/>
      </w:pPr>
      <w:r>
        <w:t>Two operating modes and the role of the LLM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730"/>
        <w:gridCol w:w="373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  <w:shd w:fill="16364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Decision point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  <w:shd w:fill="16364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Mode A - Candidate + Test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  <w:shd w:fill="16364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Mode B - Recommendation Only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When used</w:t>
            </w:r>
          </w:p>
        </w:tc>
        <w:tc>
          <w:tcPr>
            <w:tcW w:type="dxa" w:w="373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Compiler and isolated replay access are permitted.</w:t>
            </w:r>
          </w:p>
        </w:tc>
        <w:tc>
          <w:tcPr>
            <w:tcW w:type="dxa" w:w="373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Client does not permit executable candidate or compiler access.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Candidate</w:t>
            </w:r>
          </w:p>
        </w:tc>
        <w:tc>
          <w:tcPr>
            <w:tcW w:type="dxa" w:w="37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Typed JSON stored only in optimizer boundary.</w:t>
            </w:r>
          </w:p>
        </w:tc>
        <w:tc>
          <w:tcPr>
            <w:tcW w:type="dxa" w:w="37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No executable candidate or DRL.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Testing</w:t>
            </w:r>
          </w:p>
        </w:tc>
        <w:tc>
          <w:tcPr>
            <w:tcW w:type="dxa" w:w="373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Parity -&gt; current baseline -&gt; candidate simulation on the same cohort.</w:t>
            </w:r>
          </w:p>
        </w:tc>
        <w:tc>
          <w:tcPr>
            <w:tcW w:type="dxa" w:w="373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No candidate backtest; deterministic sensitivity may still be shown.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Output</w:t>
            </w:r>
          </w:p>
        </w:tc>
        <w:tc>
          <w:tcPr>
            <w:tcW w:type="dxa" w:w="37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Recommendation + candidate diff + simulation evidence.</w:t>
            </w:r>
          </w:p>
        </w:tc>
        <w:tc>
          <w:tcPr>
            <w:tcW w:type="dxa" w:w="37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Recommendation + verified analysis + explicit no-backtest limitation.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Production write</w:t>
            </w:r>
          </w:p>
        </w:tc>
        <w:tc>
          <w:tcPr>
            <w:tcW w:type="dxa" w:w="373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Never.</w:t>
            </w:r>
          </w:p>
        </w:tc>
        <w:tc>
          <w:tcPr>
            <w:tcW w:type="dxa" w:w="373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Never.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Human approval</w:t>
            </w:r>
          </w:p>
        </w:tc>
        <w:tc>
          <w:tcPr>
            <w:tcW w:type="dxa" w:w="37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Required.</w:t>
            </w:r>
          </w:p>
        </w:tc>
        <w:tc>
          <w:tcPr>
            <w:tcW w:type="dxa" w:w="37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Required.</w:t>
            </w:r>
          </w:p>
        </w:tc>
      </w:tr>
    </w:tbl>
    <w:p>
      <w:pPr>
        <w:pStyle w:val="Heading2"/>
      </w:pPr>
      <w:r>
        <w:t>Where the LLM is used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  <w:shd w:fill="16364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LLM may help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  <w:shd w:fill="16364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LLM must never do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Explain verified patterns in simple English.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Browse raw EFRM tables or hold database credentials.</w:t>
            </w:r>
          </w:p>
        </w:tc>
      </w:tr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Connect approved findings into bounded hypotheses.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Generate or execute arbitrary SQL.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Suggest an approved scenario template.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Calculate authoritative metrics or alter evidence.</w:t>
            </w:r>
          </w:p>
        </w:tc>
      </w:tr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Draft the recommendation's 'why' and limitations.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Write free-form DRL, compile rules or run replay.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Request an allow-listed follow-up calculation.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8"/>
              </w:rPr>
              <w:t>Approve a candidate or decide a production change.</w:t>
            </w:r>
          </w:p>
        </w:tc>
      </w:tr>
    </w:tbl>
    <w:p>
      <w:pPr>
        <w:spacing w:before="60" w:after="100" w:line="264" w:lineRule="auto"/>
        <w:ind w:left="144" w:right="115"/>
        <w:shd w:fill="EAF4EA"/>
        <w:pBdr>
          <w:left w:val="single" w:sz="22" w:space="8" w:color="4C8A4B"/>
        </w:pBdr>
      </w:pPr>
      <w:r>
        <w:rPr>
          <w:rFonts w:ascii="Calibri" w:hAnsi="Calibri"/>
          <w:b/>
          <w:i w:val="0"/>
          <w:color w:val="16364F"/>
          <w:sz w:val="21"/>
        </w:rPr>
        <w:t xml:space="preserve">Why this hybrid design is better  </w:t>
      </w:r>
      <w:r>
        <w:rPr>
          <w:rFonts w:ascii="Calibri" w:hAnsi="Calibri"/>
          <w:b w:val="0"/>
          <w:i w:val="0"/>
          <w:color w:val="1F2D3A"/>
          <w:sz w:val="21"/>
        </w:rPr>
        <w:t>SQL, statistics and Drools are repeatable from the same inputs. The LLM adds language reasoning where it helps, but never becomes the source of truth.</w:t>
      </w:r>
    </w:p>
    <w:p>
      <w:pPr>
        <w:pStyle w:val="Heading2"/>
      </w:pPr>
      <w:r>
        <w:t>Human governance is the final control</w:t>
      </w:r>
    </w:p>
    <w:p>
      <w:pPr>
        <w:pStyle w:val="ListBullet"/>
        <w:spacing w:after="6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20"/>
        </w:rPr>
        <w:t xml:space="preserve">Reviewer: </w:t>
      </w:r>
      <w:r>
        <w:rPr>
          <w:rFonts w:ascii="Calibri" w:hAnsi="Calibri"/>
          <w:b w:val="0"/>
          <w:i w:val="0"/>
          <w:color w:val="1F2D3A"/>
          <w:sz w:val="20"/>
        </w:rPr>
        <w:t>views evidence, accepts, rejects, requests more analysis or recommends retirement review.</w:t>
      </w:r>
    </w:p>
    <w:p>
      <w:pPr>
        <w:pStyle w:val="ListBullet"/>
        <w:spacing w:after="6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20"/>
        </w:rPr>
        <w:t xml:space="preserve">Optional handoff: </w:t>
      </w:r>
      <w:r>
        <w:rPr>
          <w:rFonts w:ascii="Calibri" w:hAnsi="Calibri"/>
          <w:b w:val="0"/>
          <w:i w:val="0"/>
          <w:color w:val="1F2D3A"/>
          <w:sz w:val="20"/>
        </w:rPr>
        <w:t>after recorded human acceptance, a Governance Adapter may create a draft work item if an approved API and institution policy permit it.</w:t>
      </w:r>
    </w:p>
    <w:p>
      <w:pPr>
        <w:pStyle w:val="ListBullet"/>
        <w:spacing w:after="6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20"/>
        </w:rPr>
        <w:t xml:space="preserve">Existing EFRM governance: </w:t>
      </w:r>
      <w:r>
        <w:rPr>
          <w:rFonts w:ascii="Calibri" w:hAnsi="Calibri"/>
          <w:b w:val="0"/>
          <w:i w:val="0"/>
          <w:color w:val="1F2D3A"/>
          <w:sz w:val="20"/>
        </w:rPr>
        <w:t>owns testing, approval, activation, rollback, retirement and deletion.</w:t>
      </w:r>
    </w:p>
    <w:p>
      <w:pPr>
        <w:pStyle w:val="ListBullet"/>
        <w:spacing w:after="60" w:line="252" w:lineRule="auto"/>
        <w:ind w:left="720" w:hanging="360"/>
      </w:pPr>
      <w:r>
        <w:rPr>
          <w:rFonts w:ascii="Calibri" w:hAnsi="Calibri"/>
          <w:b/>
          <w:i w:val="0"/>
          <w:color w:val="16364F"/>
          <w:sz w:val="20"/>
        </w:rPr>
        <w:t xml:space="preserve">Agent boundary: </w:t>
      </w:r>
      <w:r>
        <w:rPr>
          <w:rFonts w:ascii="Calibri" w:hAnsi="Calibri"/>
          <w:b w:val="0"/>
          <w:i w:val="0"/>
          <w:color w:val="1F2D3A"/>
          <w:sz w:val="20"/>
        </w:rPr>
        <w:t>the Agent never directly modifies, activates, retires or deletes a production rule.</w:t>
      </w:r>
    </w:p>
    <w:p>
      <w:r>
        <w:br w:type="page"/>
      </w:r>
    </w:p>
    <w:p>
      <w:pPr>
        <w:pStyle w:val="Heading1"/>
      </w:pPr>
      <w:r>
        <w:t>Technical implementation and approval summary</w:t>
      </w:r>
    </w:p>
    <w:p>
      <w:pPr>
        <w:spacing w:before="60" w:after="120" w:line="264" w:lineRule="auto"/>
        <w:ind w:left="144" w:right="115"/>
        <w:shd w:fill="E8F4F4"/>
        <w:pBdr>
          <w:left w:val="single" w:sz="22" w:space="8" w:color="168891"/>
        </w:pBdr>
      </w:pPr>
      <w:r>
        <w:rPr>
          <w:rFonts w:ascii="Calibri" w:hAnsi="Calibri"/>
          <w:b/>
          <w:i w:val="0"/>
          <w:color w:val="16364F"/>
          <w:sz w:val="21"/>
        </w:rPr>
        <w:t xml:space="preserve">Initial deployment  </w:t>
      </w:r>
      <w:r>
        <w:rPr>
          <w:rFonts w:ascii="Calibri" w:hAnsi="Calibri"/>
          <w:b w:val="0"/>
          <w:i w:val="0"/>
          <w:color w:val="1F2D3A"/>
          <w:sz w:val="21"/>
        </w:rPr>
        <w:t>One modular Java/Spring Boot Rule Optimization Service. Logical responsibilities remain separate modules; only resource-heavy analytics or replay workers are isolated when needed.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900"/>
        <w:gridCol w:w="33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  <w:shd w:fill="16364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  <w:shd w:fill="16364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  <w:shd w:fill="16364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Primary technique</w:t>
            </w:r>
          </w:p>
        </w:tc>
      </w:tr>
      <w:t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7"/>
              </w:rPr>
              <w:t>Trigger + Orchestrator</w:t>
            </w:r>
          </w:p>
        </w:tc>
        <w:tc>
          <w:tcPr>
            <w:tcW w:type="dxa" w:w="3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7"/>
              </w:rPr>
              <w:t>Authenticate, deduplicate, persist state, retry and resume the eight phases.</w:t>
            </w:r>
          </w:p>
        </w:tc>
        <w:tc>
          <w:tcPr>
            <w:tcW w:type="dxa" w:w="3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7"/>
              </w:rPr>
              <w:t>Spring Boot + PostgreSQL inbox/outbox/jobs/state machine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7"/>
              </w:rPr>
              <w:t>Data + Configuration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7"/>
              </w:rPr>
              <w:t>Read exact cases, lineage, rules, versions and historical population.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7"/>
              </w:rPr>
              <w:t>Typed ports, secured read APIs or parameterized read-only SQL</w:t>
            </w:r>
          </w:p>
        </w:tc>
      </w:tr>
      <w:t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7"/>
              </w:rPr>
              <w:t>Analytics</w:t>
            </w:r>
          </w:p>
        </w:tc>
        <w:tc>
          <w:tcPr>
            <w:tcW w:type="dxa" w:w="3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7"/>
              </w:rPr>
              <w:t>Health, decay, threshold, overlap, volume and internal leakage evidence.</w:t>
            </w:r>
          </w:p>
        </w:tc>
        <w:tc>
          <w:tcPr>
            <w:tcW w:type="dxa" w:w="3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7"/>
              </w:rPr>
              <w:t>Deterministic SQL + Python statistics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7"/>
              </w:rPr>
              <w:t>Candidate + Replay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7"/>
              </w:rPr>
              <w:t>Validate, compile and compare current/candidate under identical context.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7"/>
              </w:rPr>
              <w:t>RuleCompilerPort + isolated Java/Drools RuleReplayPort</w:t>
            </w:r>
          </w:p>
        </w:tc>
      </w:tr>
      <w:tr>
        <w:tc>
          <w:tcPr>
            <w:tcW w:type="dxa" w:w="21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7"/>
              </w:rPr>
              <w:t>Optional Model Gateway</w:t>
            </w:r>
          </w:p>
        </w:tc>
        <w:tc>
          <w:tcPr>
            <w:tcW w:type="dxa" w:w="3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7"/>
              </w:rPr>
              <w:t>Bounded hypotheses and explanation over approved evidence.</w:t>
            </w:r>
          </w:p>
        </w:tc>
        <w:tc>
          <w:tcPr>
            <w:tcW w:type="dxa" w:w="3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7"/>
              </w:rPr>
              <w:t>Local LLM or approved external API; masking and schema output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7"/>
              </w:rPr>
              <w:t>Recommendation Center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7"/>
              </w:rPr>
              <w:t>Evidence drill-down, review action and governed handoff.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9D3DC"/>
              <w:left w:val="single" w:sz="5" w:color="C9D3DC"/>
              <w:bottom w:val="single" w:sz="5" w:color="C9D3DC"/>
              <w:right w:val="single" w:sz="5" w:color="C9D3DC"/>
              <w:insideH w:val="single" w:sz="5" w:color="C9D3DC"/>
              <w:insideV w:val="single" w:sz="5" w:color="C9D3D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D3A"/>
                <w:sz w:val="17"/>
              </w:rPr>
              <w:t>Spring REST APIs/UI + immutable PostgreSQL audit</w:t>
            </w:r>
          </w:p>
        </w:tc>
      </w:tr>
    </w:tbl>
    <w:p>
      <w:pPr>
        <w:pStyle w:val="Heading2"/>
      </w:pPr>
      <w:r>
        <w:t>Non-negotiable enterprise controls</w:t>
      </w:r>
    </w:p>
    <w:p>
      <w:pPr>
        <w:pStyle w:val="ListBullet"/>
        <w:spacing w:after="60" w:line="252" w:lineRule="auto"/>
        <w:ind w:left="720" w:hanging="360"/>
      </w:pPr>
      <w:r>
        <w:rPr>
          <w:rFonts w:ascii="Calibri" w:hAnsi="Calibri"/>
          <w:b w:val="0"/>
          <w:i w:val="0"/>
          <w:color w:val="1F2D3A"/>
          <w:sz w:val="19"/>
        </w:rPr>
        <w:t>The case-side transactional outbox and optimizer inbox prevent lost or duplicate work; Kafka is optional.</w:t>
      </w:r>
    </w:p>
    <w:p>
      <w:pPr>
        <w:pStyle w:val="ListBullet"/>
        <w:spacing w:after="60" w:line="252" w:lineRule="auto"/>
        <w:ind w:left="720" w:hanging="360"/>
      </w:pPr>
      <w:r>
        <w:rPr>
          <w:rFonts w:ascii="Calibri" w:hAnsi="Calibri"/>
          <w:b w:val="0"/>
          <w:i w:val="0"/>
          <w:color w:val="1F2D3A"/>
          <w:sz w:val="19"/>
        </w:rPr>
        <w:t>institution_id is mandatory on every event, query, join, job, snapshot, artifact, cache key and audit record.</w:t>
      </w:r>
    </w:p>
    <w:p>
      <w:pPr>
        <w:pStyle w:val="ListBullet"/>
        <w:spacing w:after="60" w:line="252" w:lineRule="auto"/>
        <w:ind w:left="720" w:hanging="360"/>
      </w:pPr>
      <w:r>
        <w:rPr>
          <w:rFonts w:ascii="Calibri" w:hAnsi="Calibri"/>
          <w:b w:val="0"/>
          <w:i w:val="0"/>
          <w:color w:val="1F2D3A"/>
          <w:sz w:val="19"/>
        </w:rPr>
        <w:t>Historical claims require execution manifests and immutable metric, decision-policy and outcome-mapping versions.</w:t>
      </w:r>
    </w:p>
    <w:p>
      <w:pPr>
        <w:pStyle w:val="ListBullet"/>
        <w:spacing w:after="60" w:line="252" w:lineRule="auto"/>
        <w:ind w:left="720" w:hanging="360"/>
      </w:pPr>
      <w:r>
        <w:rPr>
          <w:rFonts w:ascii="Calibri" w:hAnsi="Calibri"/>
          <w:b w:val="0"/>
          <w:i w:val="0"/>
          <w:color w:val="1F2D3A"/>
          <w:sz w:val="19"/>
        </w:rPr>
        <w:t>EFRM access is read-only; candidates and simulations remain outside production.</w:t>
      </w:r>
    </w:p>
    <w:p>
      <w:pPr>
        <w:pStyle w:val="ListBullet"/>
        <w:spacing w:after="60" w:line="252" w:lineRule="auto"/>
        <w:ind w:left="720" w:hanging="360"/>
      </w:pPr>
      <w:r>
        <w:rPr>
          <w:rFonts w:ascii="Calibri" w:hAnsi="Calibri"/>
          <w:b w:val="0"/>
          <w:i w:val="0"/>
          <w:color w:val="1F2D3A"/>
          <w:sz w:val="19"/>
        </w:rPr>
        <w:t>Replay parity must pass before candidate-impact claims are allowed.</w:t>
      </w:r>
    </w:p>
    <w:p>
      <w:pPr>
        <w:pStyle w:val="ListBullet"/>
        <w:spacing w:after="60" w:line="252" w:lineRule="auto"/>
        <w:ind w:left="720" w:hanging="360"/>
      </w:pPr>
      <w:r>
        <w:rPr>
          <w:rFonts w:ascii="Calibri" w:hAnsi="Calibri"/>
          <w:b w:val="0"/>
          <w:i w:val="0"/>
          <w:color w:val="1F2D3A"/>
          <w:sz w:val="19"/>
        </w:rPr>
        <w:t>Case corrections or current-rule changes cancel, stale or supersede older work.</w:t>
      </w:r>
    </w:p>
    <w:p>
      <w:pPr>
        <w:pStyle w:val="Heading2"/>
      </w:pPr>
      <w:r>
        <w:t>Recommended approval and delivery order</w:t>
      </w:r>
    </w:p>
    <w:p>
      <w:pPr>
        <w:pStyle w:val="ListNumber"/>
        <w:spacing w:after="60" w:line="252" w:lineRule="auto"/>
        <w:ind w:left="720" w:hanging="360"/>
      </w:pPr>
      <w:r>
        <w:rPr>
          <w:rFonts w:ascii="Calibri" w:hAnsi="Calibri"/>
          <w:b w:val="0"/>
          <w:i w:val="0"/>
          <w:color w:val="1F2D3A"/>
          <w:sz w:val="19"/>
        </w:rPr>
        <w:t>P0 provenance: case outbox, canonical mappings, execution manifests and immutable versions.</w:t>
      </w:r>
    </w:p>
    <w:p>
      <w:pPr>
        <w:pStyle w:val="ListNumber"/>
        <w:spacing w:after="60" w:line="252" w:lineRule="auto"/>
        <w:ind w:left="720" w:hanging="360"/>
      </w:pPr>
      <w:r>
        <w:rPr>
          <w:rFonts w:ascii="Calibri" w:hAnsi="Calibri"/>
          <w:b w:val="0"/>
          <w:i w:val="0"/>
          <w:color w:val="1F2D3A"/>
          <w:sz w:val="19"/>
        </w:rPr>
        <w:t>Modular trigger, lineage, configuration and frozen-evidence foundation.</w:t>
      </w:r>
    </w:p>
    <w:p>
      <w:pPr>
        <w:pStyle w:val="ListNumber"/>
        <w:spacing w:after="60" w:line="252" w:lineRule="auto"/>
        <w:ind w:left="720" w:hanging="360"/>
      </w:pPr>
      <w:r>
        <w:rPr>
          <w:rFonts w:ascii="Calibri" w:hAnsi="Calibri"/>
          <w:b w:val="0"/>
          <w:i w:val="0"/>
          <w:color w:val="1F2D3A"/>
          <w:sz w:val="19"/>
        </w:rPr>
        <w:t>Deterministic Recommendation Only plus the real Recommendation Center.</w:t>
      </w:r>
    </w:p>
    <w:p>
      <w:pPr>
        <w:pStyle w:val="ListNumber"/>
        <w:spacing w:after="60" w:line="252" w:lineRule="auto"/>
        <w:ind w:left="720" w:hanging="360"/>
      </w:pPr>
      <w:r>
        <w:rPr>
          <w:rFonts w:ascii="Calibri" w:hAnsi="Calibri"/>
          <w:b w:val="0"/>
          <w:i w:val="0"/>
          <w:color w:val="1F2D3A"/>
          <w:sz w:val="19"/>
        </w:rPr>
        <w:t>Point-in-time replay parity, then bounded Candidate + Test.</w:t>
      </w:r>
    </w:p>
    <w:p>
      <w:pPr>
        <w:pStyle w:val="ListNumber"/>
        <w:spacing w:after="60" w:line="252" w:lineRule="auto"/>
        <w:ind w:left="720" w:hanging="360"/>
      </w:pPr>
      <w:r>
        <w:rPr>
          <w:rFonts w:ascii="Calibri" w:hAnsi="Calibri"/>
          <w:b w:val="0"/>
          <w:i w:val="0"/>
          <w:color w:val="1F2D3A"/>
          <w:sz w:val="19"/>
        </w:rPr>
        <w:t>Optional LLM and documentation RAG after the deterministic workflow is mature.</w:t>
      </w:r>
    </w:p>
    <w:p>
      <w:pPr>
        <w:spacing w:before="60" w:after="0" w:line="264" w:lineRule="auto"/>
        <w:ind w:left="144" w:right="115"/>
        <w:shd w:fill="FFF2DF"/>
        <w:pBdr>
          <w:left w:val="single" w:sz="22" w:space="8" w:color="ED8A19"/>
        </w:pBdr>
      </w:pPr>
      <w:r>
        <w:rPr>
          <w:rFonts w:ascii="Calibri" w:hAnsi="Calibri"/>
          <w:b/>
          <w:i w:val="0"/>
          <w:color w:val="16364F"/>
          <w:sz w:val="21"/>
        </w:rPr>
        <w:t xml:space="preserve">Management decision  </w:t>
      </w:r>
      <w:r>
        <w:rPr>
          <w:rFonts w:ascii="Calibri" w:hAnsi="Calibri"/>
          <w:b w:val="0"/>
          <w:i w:val="0"/>
          <w:color w:val="1F2D3A"/>
          <w:sz w:val="21"/>
        </w:rPr>
        <w:t>Approve the architecture as an asynchronous, institution/channel-agnostic, evidence-first recommendation system. Enable Candidate + Test only after compiler access, replay parity and client constraints are approved.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27E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27E"/>
        <w:sz w:val="16"/>
      </w:rPr>
      <w:t>EFRM RULE OPTIMIZATION AGENT  |  EXECUTIVE ARCHITECTURE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EFRM Rule Optimization Agent - Executive Architecture Brief</dc:title>
  <dc:subject>Five-page architecture and workflow summary</dc:subject>
  <dc:creator>EFRM Product Architecture</dc:creator>
  <cp:keywords>EFRM, rule optimization, architecture, workflow, backtesting, LLM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