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0E7E" w14:textId="77777777" w:rsidR="00400068" w:rsidRDefault="00400068" w:rsidP="00400068">
      <w:r>
        <w:t>[1] Meng, Z., et al. "A large-scale curated dataset for blood–brain barrier permeability prediction." Scientific Data 8, 203 (2021).</w:t>
      </w:r>
    </w:p>
    <w:p w14:paraId="0AD7D404" w14:textId="77777777" w:rsidR="00400068" w:rsidRDefault="00400068" w:rsidP="00400068"/>
    <w:p w14:paraId="14ED4192" w14:textId="77777777" w:rsidR="00400068" w:rsidRDefault="00400068" w:rsidP="00400068">
      <w:r>
        <w:t xml:space="preserve">[2] Martins, I.F., et al. "A Bayesian approach to in silico blood–brain barrier penetration </w:t>
      </w:r>
      <w:proofErr w:type="spellStart"/>
      <w:r>
        <w:t>modeling</w:t>
      </w:r>
      <w:proofErr w:type="spellEnd"/>
      <w:r>
        <w:t xml:space="preserve">." Journal of Chemical Information and </w:t>
      </w:r>
      <w:proofErr w:type="spellStart"/>
      <w:r>
        <w:t>Modeling</w:t>
      </w:r>
      <w:proofErr w:type="spellEnd"/>
      <w:r>
        <w:t xml:space="preserve"> 52, 1686–1697 (2012).</w:t>
      </w:r>
    </w:p>
    <w:p w14:paraId="6CF946A4" w14:textId="77777777" w:rsidR="00400068" w:rsidRDefault="00400068" w:rsidP="00400068"/>
    <w:p w14:paraId="32180228" w14:textId="77777777" w:rsidR="00400068" w:rsidRDefault="00400068" w:rsidP="00400068">
      <w:r>
        <w:t>[3] Xiong, G., et al. "</w:t>
      </w:r>
      <w:proofErr w:type="spellStart"/>
      <w:r>
        <w:t>ADMETlab</w:t>
      </w:r>
      <w:proofErr w:type="spellEnd"/>
      <w:r>
        <w:t xml:space="preserve"> 2.0: an integrated online platform for accurate and comprehensive predictions of ADMET properties." Nucleic Acids Research 49, W5–W14 (2021).</w:t>
      </w:r>
    </w:p>
    <w:p w14:paraId="5E1786AE" w14:textId="77777777" w:rsidR="00400068" w:rsidRDefault="00400068" w:rsidP="00400068"/>
    <w:p w14:paraId="4796AC5C" w14:textId="77777777" w:rsidR="00400068" w:rsidRDefault="00400068" w:rsidP="00400068">
      <w:r>
        <w:t>[4] Yang, K., et al. "</w:t>
      </w:r>
      <w:proofErr w:type="spellStart"/>
      <w:r>
        <w:t>Analyzing</w:t>
      </w:r>
      <w:proofErr w:type="spellEnd"/>
      <w:r>
        <w:t xml:space="preserve"> Learned Molecular Representations for Property Prediction." Journal of Chemical Information and </w:t>
      </w:r>
      <w:proofErr w:type="spellStart"/>
      <w:r>
        <w:t>Modeling</w:t>
      </w:r>
      <w:proofErr w:type="spellEnd"/>
      <w:r>
        <w:t xml:space="preserve"> 59, 3370–3388 (2019). (</w:t>
      </w:r>
      <w:proofErr w:type="spellStart"/>
      <w:r>
        <w:t>AttentiveFP</w:t>
      </w:r>
      <w:proofErr w:type="spellEnd"/>
      <w:r>
        <w:t>)</w:t>
      </w:r>
    </w:p>
    <w:p w14:paraId="7A5F1584" w14:textId="77777777" w:rsidR="00400068" w:rsidRDefault="00400068" w:rsidP="00400068"/>
    <w:p w14:paraId="2CC96FD3" w14:textId="77777777" w:rsidR="00400068" w:rsidRDefault="00400068" w:rsidP="00400068">
      <w:r>
        <w:t>[5] Cheng, F., et al. "</w:t>
      </w:r>
      <w:proofErr w:type="spellStart"/>
      <w:r>
        <w:t>admetSAR</w:t>
      </w:r>
      <w:proofErr w:type="spellEnd"/>
      <w:r>
        <w:t xml:space="preserve"> 2.0: web-service for prediction and optimization of chemical ADMET properties." Bioinformatics 33, 465–467 (2017).</w:t>
      </w:r>
    </w:p>
    <w:p w14:paraId="46D3C9B1" w14:textId="77777777" w:rsidR="00400068" w:rsidRDefault="00400068" w:rsidP="00400068"/>
    <w:p w14:paraId="45ED758D" w14:textId="77777777" w:rsidR="00400068" w:rsidRDefault="00400068" w:rsidP="00400068">
      <w:r>
        <w:t xml:space="preserve">[6] </w:t>
      </w:r>
      <w:proofErr w:type="spellStart"/>
      <w:r>
        <w:t>Chithrananda</w:t>
      </w:r>
      <w:proofErr w:type="spellEnd"/>
      <w:r>
        <w:t>, S., Grand, G., &amp; Ramsundar, B. "</w:t>
      </w:r>
      <w:proofErr w:type="spellStart"/>
      <w:r>
        <w:t>ChemBERTa</w:t>
      </w:r>
      <w:proofErr w:type="spellEnd"/>
      <w:r>
        <w:t>: Large-Scale Self-Supervised Pretraining for Molecular Property Prediction." arXiv:2010.09885 (2020).</w:t>
      </w:r>
    </w:p>
    <w:p w14:paraId="41C36B6E" w14:textId="77777777" w:rsidR="00400068" w:rsidRDefault="00400068" w:rsidP="00400068"/>
    <w:p w14:paraId="00FD2033" w14:textId="77777777" w:rsidR="00400068" w:rsidRDefault="00400068" w:rsidP="00400068">
      <w:r>
        <w:t>[7] Pires, D.E.V., Blundell, T.L., &amp; Ascher, D.B. "</w:t>
      </w:r>
      <w:proofErr w:type="spellStart"/>
      <w:r>
        <w:t>pkCSM</w:t>
      </w:r>
      <w:proofErr w:type="spellEnd"/>
      <w:r>
        <w:t>: Predicting Small-Molecule Pharmacokinetic and Toxicity Properties Using Graph-Based Signatures." Journal of Medicinal Chemistry 58, 4066–4072 (2015).</w:t>
      </w:r>
    </w:p>
    <w:p w14:paraId="09C8F1B6" w14:textId="77777777" w:rsidR="00400068" w:rsidRDefault="00400068" w:rsidP="00400068"/>
    <w:p w14:paraId="7CED9AE5" w14:textId="77777777" w:rsidR="00400068" w:rsidRDefault="00400068" w:rsidP="00400068">
      <w:r>
        <w:t>[8] Wang, Z., et al. "</w:t>
      </w:r>
      <w:proofErr w:type="spellStart"/>
      <w:r>
        <w:t>DeepBBB</w:t>
      </w:r>
      <w:proofErr w:type="spellEnd"/>
      <w:r>
        <w:t>: a deep learning system for predicting blood–brain barrier permeability." Frontiers in Pharmacology 12, 706 (2021).</w:t>
      </w:r>
    </w:p>
    <w:p w14:paraId="425C4F58" w14:textId="77777777" w:rsidR="00400068" w:rsidRDefault="00400068" w:rsidP="00400068"/>
    <w:p w14:paraId="6A5CC6D9" w14:textId="77777777" w:rsidR="00400068" w:rsidRDefault="00400068" w:rsidP="00400068">
      <w:r>
        <w:t xml:space="preserve">[9] Daina, A., </w:t>
      </w:r>
      <w:proofErr w:type="spellStart"/>
      <w:r>
        <w:t>Michielin</w:t>
      </w:r>
      <w:proofErr w:type="spellEnd"/>
      <w:r>
        <w:t>, O., &amp; Zoete, V. "</w:t>
      </w:r>
      <w:proofErr w:type="spellStart"/>
      <w:r>
        <w:t>SwissADME</w:t>
      </w:r>
      <w:proofErr w:type="spellEnd"/>
      <w:r>
        <w:t>: a free web tool to evaluate pharmacokinetics, drug-likeness and medicinal chemistry friendliness of small molecules." Scientific Reports 7, 42717 (2017).</w:t>
      </w:r>
    </w:p>
    <w:p w14:paraId="0445518C" w14:textId="77777777" w:rsidR="00400068" w:rsidRDefault="00400068" w:rsidP="00400068"/>
    <w:p w14:paraId="72560BBF" w14:textId="77777777" w:rsidR="00400068" w:rsidRDefault="00400068" w:rsidP="00400068">
      <w:r>
        <w:t>[10] Brody, S., Alon, U., &amp; Yahav, E. "How Attentive are Graph Attention Networks?" arXiv:2105.14491 (2021). (GATv2)</w:t>
      </w:r>
    </w:p>
    <w:p w14:paraId="6A0D9ED0" w14:textId="77777777" w:rsidR="00400068" w:rsidRDefault="00400068" w:rsidP="00400068"/>
    <w:p w14:paraId="2792784A" w14:textId="77777777" w:rsidR="00400068" w:rsidRDefault="00400068" w:rsidP="00400068">
      <w:r>
        <w:t xml:space="preserve">[11] Hamilton, W., Ying, Z., &amp; Leskovec, J. "Inductive Representation Learning on Large Graphs." </w:t>
      </w:r>
      <w:proofErr w:type="spellStart"/>
      <w:r>
        <w:t>NeurIPS</w:t>
      </w:r>
      <w:proofErr w:type="spellEnd"/>
      <w:r>
        <w:t xml:space="preserve"> (2017). (</w:t>
      </w:r>
      <w:proofErr w:type="spellStart"/>
      <w:r>
        <w:t>GraphSAGE</w:t>
      </w:r>
      <w:proofErr w:type="spellEnd"/>
      <w:r>
        <w:t>)</w:t>
      </w:r>
    </w:p>
    <w:p w14:paraId="391D89D9" w14:textId="77777777" w:rsidR="00400068" w:rsidRDefault="00400068" w:rsidP="00400068"/>
    <w:p w14:paraId="3D3E10F1" w14:textId="77777777" w:rsidR="00400068" w:rsidRDefault="00400068" w:rsidP="00400068">
      <w:r>
        <w:lastRenderedPageBreak/>
        <w:t>[12] Kipf, T.N., &amp; Welling, M. "Semi-Supervised Classification with Graph Convolutional Networks." ICLR (2017). (GCN)</w:t>
      </w:r>
    </w:p>
    <w:p w14:paraId="111CAF7E" w14:textId="77777777" w:rsidR="00400068" w:rsidRDefault="00400068" w:rsidP="00400068"/>
    <w:p w14:paraId="14852242" w14:textId="77777777" w:rsidR="00400068" w:rsidRDefault="00400068" w:rsidP="00400068">
      <w:r>
        <w:t xml:space="preserve">[13] Vaswani, A., et al. "Attention Is All You Need." </w:t>
      </w:r>
      <w:proofErr w:type="spellStart"/>
      <w:r>
        <w:t>NeurIPS</w:t>
      </w:r>
      <w:proofErr w:type="spellEnd"/>
      <w:r>
        <w:t xml:space="preserve"> (2017). (Transformer)</w:t>
      </w:r>
    </w:p>
    <w:p w14:paraId="527FFB44" w14:textId="77777777" w:rsidR="00400068" w:rsidRDefault="00400068" w:rsidP="00400068"/>
    <w:p w14:paraId="12D74FE0" w14:textId="77777777" w:rsidR="00400068" w:rsidRDefault="00400068" w:rsidP="00400068">
      <w:r>
        <w:t xml:space="preserve">[14] </w:t>
      </w:r>
      <w:proofErr w:type="spellStart"/>
      <w:r>
        <w:t>RDKit</w:t>
      </w:r>
      <w:proofErr w:type="spellEnd"/>
      <w:r>
        <w:t>: Open-source cheminformatics. http://www.rdkit.org</w:t>
      </w:r>
    </w:p>
    <w:p w14:paraId="691FF4A0" w14:textId="77777777" w:rsidR="00400068" w:rsidRDefault="00400068" w:rsidP="00400068"/>
    <w:p w14:paraId="09F89D6F" w14:textId="77777777" w:rsidR="00400068" w:rsidRDefault="00400068" w:rsidP="00400068">
      <w:r>
        <w:t xml:space="preserve">[15] Riniker, S., &amp; Landrum, G.A. "Better Informed Distance Geometry: Using What We Know </w:t>
      </w:r>
      <w:proofErr w:type="gramStart"/>
      <w:r>
        <w:t>To</w:t>
      </w:r>
      <w:proofErr w:type="gramEnd"/>
      <w:r>
        <w:t xml:space="preserve"> Improve Conformation Generation." Journal of Chemical Information and </w:t>
      </w:r>
      <w:proofErr w:type="spellStart"/>
      <w:r>
        <w:t>Modeling</w:t>
      </w:r>
      <w:proofErr w:type="spellEnd"/>
      <w:r>
        <w:t xml:space="preserve"> 55, 2562–2574 (2015).</w:t>
      </w:r>
    </w:p>
    <w:p w14:paraId="21BC4FBE" w14:textId="77777777" w:rsidR="00400068" w:rsidRDefault="00400068" w:rsidP="00400068"/>
    <w:p w14:paraId="504BEA23" w14:textId="77777777" w:rsidR="00400068" w:rsidRDefault="00400068" w:rsidP="00400068">
      <w:r>
        <w:t>[16] Lin, T.Y., et al. "Focal Loss for Dense Object Detection." ICCV (2017).</w:t>
      </w:r>
    </w:p>
    <w:p w14:paraId="0B6230D0" w14:textId="77777777" w:rsidR="00400068" w:rsidRDefault="00400068" w:rsidP="00400068"/>
    <w:p w14:paraId="50F744D9" w14:textId="77777777" w:rsidR="00400068" w:rsidRDefault="00400068" w:rsidP="00400068">
      <w:r>
        <w:t>[17] Lipinski, C.A., et al. "Experimental and computational approaches to estimate solubility and permeability in drug discovery and development settings." Advanced Drug Delivery Reviews 23, 3–25 (1997).</w:t>
      </w:r>
    </w:p>
    <w:p w14:paraId="391915E5" w14:textId="77777777" w:rsidR="00400068" w:rsidRDefault="00400068" w:rsidP="00400068"/>
    <w:p w14:paraId="1269BC99" w14:textId="77777777" w:rsidR="00400068" w:rsidRDefault="00400068" w:rsidP="00400068">
      <w:r>
        <w:t xml:space="preserve">[18] </w:t>
      </w:r>
      <w:proofErr w:type="spellStart"/>
      <w:r>
        <w:t>Pajouhesh</w:t>
      </w:r>
      <w:proofErr w:type="spellEnd"/>
      <w:r>
        <w:t xml:space="preserve">, H., &amp; Lenz, G.R. "Medicinal chemical properties of successful central nervous system drugs." </w:t>
      </w:r>
      <w:proofErr w:type="spellStart"/>
      <w:r>
        <w:t>NeuroRx</w:t>
      </w:r>
      <w:proofErr w:type="spellEnd"/>
      <w:r>
        <w:t xml:space="preserve"> 2, 541–553 (2005).</w:t>
      </w:r>
    </w:p>
    <w:p w14:paraId="7D74FB37" w14:textId="77777777" w:rsidR="00400068" w:rsidRDefault="00400068" w:rsidP="00400068"/>
    <w:p w14:paraId="49964D20" w14:textId="227BF406" w:rsidR="006D69A0" w:rsidRDefault="00400068" w:rsidP="00400068">
      <w:r>
        <w:t xml:space="preserve">[19] N. </w:t>
      </w:r>
      <w:r>
        <w:t>Yasini-Ardekani</w:t>
      </w:r>
      <w:r>
        <w:t xml:space="preserve"> "</w:t>
      </w:r>
      <w:proofErr w:type="spellStart"/>
      <w:r>
        <w:t>StereoGNN</w:t>
      </w:r>
      <w:proofErr w:type="spellEnd"/>
      <w:r>
        <w:rPr>
          <w:rFonts w:ascii="Cambria Math" w:hAnsi="Cambria Math" w:cs="Cambria Math"/>
        </w:rPr>
        <w:t>‑</w:t>
      </w:r>
      <w:r>
        <w:t>BBB V2: A Stereo</w:t>
      </w:r>
      <w:r>
        <w:rPr>
          <w:rFonts w:ascii="Cambria Math" w:hAnsi="Cambria Math" w:cs="Cambria Math"/>
        </w:rPr>
        <w:t>‑</w:t>
      </w:r>
      <w:r>
        <w:t>Aware Multi</w:t>
      </w:r>
      <w:r>
        <w:rPr>
          <w:rFonts w:ascii="Cambria Math" w:hAnsi="Cambria Math" w:cs="Cambria Math"/>
        </w:rPr>
        <w:t>‑</w:t>
      </w:r>
      <w:r>
        <w:t>Task Graph Neural Network for Quantitative Blood</w:t>
      </w:r>
      <w:r>
        <w:rPr>
          <w:rFonts w:ascii="Aptos" w:hAnsi="Aptos" w:cs="Aptos"/>
        </w:rPr>
        <w:t>–</w:t>
      </w:r>
      <w:r>
        <w:t xml:space="preserve">Brain Barrier Permeability Prediction." </w:t>
      </w:r>
      <w:proofErr w:type="spellStart"/>
      <w:r>
        <w:t>arXiv</w:t>
      </w:r>
      <w:proofErr w:type="spellEnd"/>
      <w:r>
        <w:t xml:space="preserve"> (2025).</w:t>
      </w:r>
    </w:p>
    <w:sectPr w:rsidR="006D6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68"/>
    <w:rsid w:val="00400068"/>
    <w:rsid w:val="006D69A0"/>
    <w:rsid w:val="009F5A92"/>
    <w:rsid w:val="00E9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38C4"/>
  <w15:chartTrackingRefBased/>
  <w15:docId w15:val="{9AB8F24B-88E0-43AB-BABE-2BE2ABA7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Yasini</dc:creator>
  <cp:keywords/>
  <dc:description/>
  <cp:lastModifiedBy>Nabil Yasini</cp:lastModifiedBy>
  <cp:revision>1</cp:revision>
  <dcterms:created xsi:type="dcterms:W3CDTF">2025-12-22T02:45:00Z</dcterms:created>
  <dcterms:modified xsi:type="dcterms:W3CDTF">2025-12-22T02:46:00Z</dcterms:modified>
</cp:coreProperties>
</file>