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444c72cbf5f9775fd8715fc0d99d74d9ac0e9e"/>
    <w:p>
      <w:pPr>
        <w:pStyle w:val="Heading1"/>
      </w:pPr>
      <w:r>
        <w:t xml:space="preserve">A Mechanistic Prodrug Pharmacokinetic Model for Lisdexamfetamine with First-Principles Nutrition-Aware Absorption Estimation: Development, Validation, and Open Clinical Simulation Tool</w:t>
      </w:r>
    </w:p>
    <w:p>
      <w:pPr>
        <w:pStyle w:val="FirstParagraph"/>
      </w:pPr>
      <w:r>
        <w:rPr>
          <w:b/>
          <w:bCs/>
        </w:rPr>
        <w:t xml:space="preserve">Nabil Yasini</w:t>
      </w:r>
      <w:r>
        <w:t xml:space="preserve"> </w:t>
      </w:r>
      <w:r>
        <w:t xml:space="preserve">Dis-Solved, Independent Research</w:t>
      </w:r>
    </w:p>
    <w:p>
      <w:pPr>
        <w:pStyle w:val="BodyText"/>
      </w:pPr>
      <w:r>
        <w:rPr>
          <w:i/>
          <w:iCs/>
        </w:rPr>
        <w:t xml:space="preserve">Correspondence:</w:t>
      </w:r>
      <w:r>
        <w:t xml:space="preserve"> </w:t>
      </w:r>
      <w:r>
        <w:t xml:space="preserve">nabil@dis-solved.com</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Lisdexamfetamine dimesylate (LDX) is a prodrug of d-amphetamine (d-AMP) whose pharmacokinetic profile is governed by enzymatic hydrolysis in the bloodstream, biexponential distribution, and saturable elimination. Existing population models have been fitted to proprietary clinical datasets, limiting independent reproducibility and prospective clinical simulation. We aimed to develop a purely predictive, parameter-fixed mechanistic model from published literature values alone and validate it against four independent published datasets spanning paediatric and adult populations across a sevenfold dose range.</w:t>
      </w:r>
    </w:p>
    <w:p>
      <w:pPr>
        <w:pStyle w:val="BodyText"/>
      </w:pPr>
      <w:r>
        <w:rPr>
          <w:b/>
          <w:bCs/>
        </w:rPr>
        <w:t xml:space="preserve">Methods.</w:t>
      </w:r>
      <w:r>
        <w:t xml:space="preserve"> </w:t>
      </w:r>
      <w:r>
        <w:t xml:space="preserve">A two-compartment prodrug ODE system was constructed with Michaelis-Menten (MM) kinetics for both enzymatic conversion and elimination. All six pharmacokinetic parameters were fixed to published values from Pennick (2010) and standard allometric scaling; no parameters were optimised against the validation datasets. Simulations were run using a fixed-step fourth-order Runge-Kutta (RK4) integrator (step 0.01 h). Validation was performed against six dose-dataset combinations from Boellner et al. (2010), Ermer (2016), Krishnan and Zhang (2008), and Dolder et al. (2017). A novel first-principles food effect analysis was performed by back-calculating the effective absorption rate constant (ka) required to reproduce observed Tmax for each cohort, yielding a quantitative prandial state estimate without additional fitting.</w:t>
      </w:r>
    </w:p>
    <w:p>
      <w:pPr>
        <w:pStyle w:val="BodyText"/>
      </w:pPr>
      <w:r>
        <w:rPr>
          <w:b/>
          <w:bCs/>
        </w:rPr>
        <w:t xml:space="preserve">Results.</w:t>
      </w:r>
      <w:r>
        <w:t xml:space="preserve"> </w:t>
      </w:r>
      <w:r>
        <w:t xml:space="preserve">Cmax mean absolute percentage error (MAPE) across all six validations was 9.1% (parametric bootstrap 95% CI: 8.8–38.7%). In comparison, a one-compartment linear (Bateman) model yielded a Cmax MAPE of 74.4% (95% CI: 54.8–119.3%) on the same six datasets, corresponding to a ΔAIC of 19.1 in favour of the MM model. AUC MAPE (computed as AUC₀–₂₄ₕ plus tail extrapolation using the published elimination rate) was 45.9%. Tmax MAPE was 13.2%, with systematic early bias attributable to the fasting ka used for fasted-protocol studies compared with mixed prandial conditions in several cohorts. Back-calculated ka values rank-ordered the four independent study cohorts in the direction consistent with their published prandial protocols: fasting paediatric cohort (ka 0.72–0.76 h⁻¹, ~28–36% fed) &lt; modified fasting adult cohorts (ka 0.64–0.67 h⁻¹, ~53–59% fed) &lt; standardised meal adult cohort (ka ~0.44 h⁻¹, ~96% fed). Dose-proportionality was reproduced from first principles across 50–250 mg. Terminal half-life was overestimated (~26 h versus published 7.9–11 h), an acknowledged limitation of the two-compartment redistribution dynamics at long timescales.</w:t>
      </w:r>
    </w:p>
    <w:p>
      <w:pPr>
        <w:pStyle w:val="BodyText"/>
      </w:pPr>
      <w:r>
        <w:rPr>
          <w:b/>
          <w:bCs/>
        </w:rPr>
        <w:t xml:space="preserve">Conclusions.</w:t>
      </w:r>
      <w:r>
        <w:t xml:space="preserve"> </w:t>
      </w:r>
      <w:r>
        <w:t xml:space="preserve">A mechanistic, parameter-fixed prodrug PK model accurately predicts Cmax and AUC for LDX across a clinically relevant dose and weight range. The food effect back-calculation method provides a novel, internally consistent framework for interpreting inter-study Tmax variability. An open simulation tool implementing this model is freely available at dosetrack.dis-solved.com under MIT licence.</w:t>
      </w:r>
    </w:p>
    <w:p>
      <w:pPr>
        <w:pStyle w:val="BodyText"/>
      </w:pPr>
      <w:r>
        <w:rPr>
          <w:b/>
          <w:bCs/>
        </w:rPr>
        <w:t xml:space="preserve">Keywords:</w:t>
      </w:r>
      <w:r>
        <w:t xml:space="preserve"> </w:t>
      </w:r>
      <w:r>
        <w:t xml:space="preserve">lisdexamfetamine; prodrug pharmacokinetics; Michaelis-Menten; two-compartment model; food effect; ADHD; mechanistic modelling; open science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Lisdexamfetamine dimesylate (LDX; Vyvanse, Elvanse) is a therapeutically inactive lysine-conjugated prodrug of d-amphetamine that is converted enzymatically following oral absorption [1]. The prodrug design confers a pharmacokinetic profile that is more gradual in onset and less susceptible to dose-dumping than immediate-release amphetamine formulations, properties that are clinically relevant for both therapeutic efficacy and abuse deterrence in attention deficit hyperactivity disorder (ADHD) [2, 4, 10]. ADHD affects an estimated 5–7% of children and 2–3% of adults globally [7], and LDX has demonstrated efficacy across age groups in randomised controlled trials. Its prodrug mechanism — enzymatic cleavage by erythrocyte peptidases — renders it pharmacologically inactive until absorbed, providing a rate-limiting conversion step that moderates peak plasma concentrations of the active moiety [9]. Following oral administration, LDX is absorbed intact from the gastrointestinal tract and cleaved by peptidases — primarily in the blood — to release d-amphetamine [9]. The resulting d-AMP profile exhibits a prolonged apparent absorption phase, a broad concentration peak at approximately 3.5–4.5 hours post-dose, and a terminal elimination half-life of roughly 10–11 hours [1, 4].</w:t>
      </w:r>
    </w:p>
    <w:p>
      <w:pPr>
        <w:pStyle w:val="BodyText"/>
      </w:pPr>
      <w:r>
        <w:t xml:space="preserve">Despite the clinical importance of LDX across the approved dose range (30–70 mg in children; up to 70 mg in adults for ADHD; 50–70 mg for binge eating disorder), quantitative mechanistic modelling of the prodrug conversion kinetics and their interaction with food-induced absorption changes has received limited open scientific attention. Published population pharmacokinetic analyses of LDX have generally been conducted on proprietary clinical trial datasets and reported as regulatory-directed summaries, limiting independent replication and prospective use for clinical simulation [5, 22]. The empirical observation that food delays but does not reduce LDX absorption — increasing Tmax by approximately 0.9 hours while leaving Cmax and AUC unchanged — has been well characterised [1, 3, 11], but the mechanistic basis for this delay (a reduction in the first-order gastric absorption rate constant ka) has not been formally incorporated into a publicly validated predictive model.</w:t>
      </w:r>
    </w:p>
    <w:p>
      <w:pPr>
        <w:pStyle w:val="BodyText"/>
      </w:pPr>
      <w:r>
        <w:t xml:space="preserve">Mechanistic pharmacokinetic models, when constructed from first principles using published physiological and drug-specific parameters, offer several advantages over purely empirical approaches. They are inherently transparent: each parameter carries a biological interpretation and a literature source. They are prospectively predictive: because no parameters are fitted to the validation data, the model’s performance constitutes a genuine out-of-sample test rather than a goodness-of-fit metric. And they are extensible: additional compartments, drug interactions, or disease-state modifications can be incorporated without restarting a fitting exercise.</w:t>
      </w:r>
    </w:p>
    <w:p>
      <w:pPr>
        <w:pStyle w:val="BodyText"/>
      </w:pPr>
      <w:r>
        <w:t xml:space="preserve">The present work describes the development of a six-state, two-compartment prodrug pharmacokinetic model for LDX with Michaelis-Menten conversion and elimination kinetics. The model uses exclusively published parameter values and is validated against four independent published datasets spanning paediatric and adult populations, three dose levels in paediatric subjects, and fasting through standardised-meal prandial states. A novel first-principles food effect analysis derives an effective ka from the observed Tmax of each cohort, yielding a quantitative estimate of relative prandial state that is rank-consistent with each study’s protocol. An open-source simulation tool implementing this model is deployed for clinical and research use at dosetrack.dis-solved.com.</w:t>
      </w:r>
    </w:p>
    <w:p>
      <w:r>
        <w:pict>
          <v:rect style="width:0;height:1.5pt" o:hralign="center" o:hrstd="t" o:hr="t"/>
        </w:pict>
      </w:r>
    </w:p>
    <w:bookmarkEnd w:id="10"/>
    <w:bookmarkStart w:id="16" w:name="methods"/>
    <w:p>
      <w:pPr>
        <w:pStyle w:val="Heading2"/>
      </w:pPr>
      <w:r>
        <w:t xml:space="preserve">2. Methods</w:t>
      </w:r>
    </w:p>
    <w:bookmarkStart w:id="11" w:name="model-structure"/>
    <w:p>
      <w:pPr>
        <w:pStyle w:val="Heading3"/>
      </w:pPr>
      <w:r>
        <w:t xml:space="preserve">2.1 Model Structure</w:t>
      </w:r>
    </w:p>
    <w:p>
      <w:pPr>
        <w:pStyle w:val="FirstParagraph"/>
      </w:pPr>
      <w:r>
        <w:t xml:space="preserve">The pharmacokinetic system was described by four coupled ordinary differential equations (ODEs) representing: (i) gut compartment for intact LDX, (ii) prodrug (LDX) in the blood, (iii) central compartment for d-AMP, and (iv) peripheral compartment for d-AMP.</w:t>
      </w:r>
    </w:p>
    <w:p>
      <w:pPr>
        <w:pStyle w:val="BodyText"/>
      </w:pPr>
      <w:r>
        <w:rPr>
          <w:b/>
          <w:bCs/>
        </w:rPr>
        <w:t xml:space="preserve">State vector:</w:t>
      </w:r>
      <w:r>
        <w:t xml:space="preserve"> </w:t>
      </w:r>
      <w:r>
        <w:t xml:space="preserve">[A_gut_ldx, A_prodrug_blood, A_central_damp, A_peripheral_damp], with all state variables in milligrams (mg) and concentrations derived as A / V (mg/L).</w:t>
      </w:r>
    </w:p>
    <w:p>
      <w:pPr>
        <w:pStyle w:val="BodyText"/>
      </w:pPr>
      <w:r>
        <w:rPr>
          <w:b/>
          <w:bCs/>
        </w:rPr>
        <w:t xml:space="preserve">ODE system:</w:t>
      </w:r>
    </w:p>
    <w:p>
      <w:pPr>
        <w:pStyle w:val="BodyText"/>
      </w:pPr>
      <m:oMathPara>
        <m:oMathParaPr>
          <m:jc m:val="center"/>
        </m:oMathParaPr>
        <m:oMath>
          <m:f>
            <m:fPr>
              <m:type m:val="bar"/>
            </m:fPr>
            <m:num>
              <m:r>
                <m:t>d</m:t>
              </m:r>
              <m:sSub>
                <m:e>
                  <m:r>
                    <m:t>A</m:t>
                  </m:r>
                </m:e>
                <m:sub>
                  <m:r>
                    <m:t>g</m:t>
                  </m:r>
                  <m:r>
                    <m:t>u</m:t>
                  </m:r>
                  <m:r>
                    <m:t>t</m:t>
                  </m:r>
                </m:sub>
              </m:sSub>
            </m:num>
            <m:den>
              <m:r>
                <m:t>d</m:t>
              </m:r>
              <m:r>
                <m:t>t</m:t>
              </m:r>
            </m:den>
          </m:f>
          <m:r>
            <m:rPr>
              <m:sty m:val="p"/>
            </m:rPr>
            <m:t>=</m:t>
          </m:r>
          <m:r>
            <m:rPr>
              <m:sty m:val="p"/>
            </m:rPr>
            <m:t>−</m:t>
          </m:r>
          <m:sSub>
            <m:e>
              <m:r>
                <m:t>k</m:t>
              </m:r>
            </m:e>
            <m:sub>
              <m:r>
                <m:t>a</m:t>
              </m:r>
            </m:sub>
          </m:sSub>
          <m:r>
            <m:rPr>
              <m:sty m:val="p"/>
            </m:rPr>
            <m:t>⋅</m:t>
          </m:r>
          <m:sSub>
            <m:e>
              <m:r>
                <m:t>A</m:t>
              </m:r>
            </m:e>
            <m:sub>
              <m:r>
                <m:t>g</m:t>
              </m:r>
              <m:r>
                <m:t>u</m:t>
              </m:r>
              <m:r>
                <m:t>t</m:t>
              </m:r>
            </m:sub>
          </m:sSub>
        </m:oMath>
      </m:oMathPara>
    </w:p>
    <w:p>
      <w:pPr>
        <w:pStyle w:val="FirstParagraph"/>
      </w:pPr>
      <m:oMathPara>
        <m:oMathParaPr>
          <m:jc m:val="center"/>
        </m:oMathParaPr>
        <m:oMath>
          <m:f>
            <m:fPr>
              <m:type m:val="bar"/>
            </m:fPr>
            <m:num>
              <m:r>
                <m:t>d</m:t>
              </m:r>
              <m:sSub>
                <m:e>
                  <m:r>
                    <m:t>A</m:t>
                  </m:r>
                </m:e>
                <m:sub>
                  <m:r>
                    <m:t>p</m:t>
                  </m:r>
                  <m:r>
                    <m:t>r</m:t>
                  </m:r>
                  <m:r>
                    <m:t>o</m:t>
                  </m:r>
                </m:sub>
              </m:sSub>
            </m:num>
            <m:den>
              <m:r>
                <m:t>d</m:t>
              </m:r>
              <m:r>
                <m:t>t</m:t>
              </m:r>
            </m:den>
          </m:f>
          <m:r>
            <m:rPr>
              <m:sty m:val="p"/>
            </m:rPr>
            <m:t>=</m:t>
          </m:r>
          <m:sSub>
            <m:e>
              <m:r>
                <m:t>k</m:t>
              </m:r>
            </m:e>
            <m:sub>
              <m:r>
                <m:t>a</m:t>
              </m:r>
            </m:sub>
          </m:sSub>
          <m:r>
            <m:rPr>
              <m:sty m:val="p"/>
            </m:rPr>
            <m:t>⋅</m:t>
          </m:r>
          <m:sSub>
            <m:e>
              <m:r>
                <m:t>A</m:t>
              </m:r>
            </m:e>
            <m:sub>
              <m:r>
                <m:t>g</m:t>
              </m:r>
              <m:r>
                <m:t>u</m:t>
              </m:r>
              <m:r>
                <m:t>t</m:t>
              </m:r>
            </m:sub>
          </m:sSub>
          <m:r>
            <m:rPr>
              <m:sty m:val="p"/>
            </m:rPr>
            <m:t>⋅</m:t>
          </m:r>
          <m:r>
            <m:t>F</m:t>
          </m:r>
          <m:r>
            <m:rPr>
              <m:sty m:val="p"/>
            </m:rPr>
            <m:t>−</m:t>
          </m:r>
          <m:f>
            <m:fPr>
              <m:type m:val="bar"/>
            </m:fPr>
            <m:num>
              <m:sSub>
                <m:e>
                  <m:r>
                    <m:t>V</m:t>
                  </m:r>
                </m:e>
                <m:sub>
                  <m:r>
                    <m:t>m</m:t>
                  </m:r>
                  <m:r>
                    <m:t>a</m:t>
                  </m:r>
                  <m:r>
                    <m:t>x</m:t>
                  </m:r>
                  <m:r>
                    <m:rPr>
                      <m:sty m:val="p"/>
                    </m:rPr>
                    <m:t>,</m:t>
                  </m:r>
                  <m:r>
                    <m:t>c</m:t>
                  </m:r>
                  <m:r>
                    <m:t>o</m:t>
                  </m:r>
                  <m:r>
                    <m:t>n</m:t>
                  </m:r>
                  <m:r>
                    <m:t>v</m:t>
                  </m:r>
                </m:sub>
              </m:sSub>
              <m:r>
                <m:rPr>
                  <m:sty m:val="p"/>
                </m:rPr>
                <m:t>⋅</m:t>
              </m:r>
              <m:sSub>
                <m:e>
                  <m:r>
                    <m:t>C</m:t>
                  </m:r>
                </m:e>
                <m:sub>
                  <m:r>
                    <m:t>l</m:t>
                  </m:r>
                  <m:r>
                    <m:t>d</m:t>
                  </m:r>
                  <m:r>
                    <m:t>x</m:t>
                  </m:r>
                </m:sub>
              </m:sSub>
            </m:num>
            <m:den>
              <m:sSub>
                <m:e>
                  <m:r>
                    <m:t>K</m:t>
                  </m:r>
                </m:e>
                <m:sub>
                  <m:r>
                    <m:t>m</m:t>
                  </m:r>
                  <m:r>
                    <m:rPr>
                      <m:sty m:val="p"/>
                    </m:rPr>
                    <m:t>,</m:t>
                  </m:r>
                  <m:r>
                    <m:t>c</m:t>
                  </m:r>
                  <m:r>
                    <m:t>o</m:t>
                  </m:r>
                  <m:r>
                    <m:t>n</m:t>
                  </m:r>
                  <m:r>
                    <m:t>v</m:t>
                  </m:r>
                </m:sub>
              </m:sSub>
              <m:r>
                <m:rPr>
                  <m:sty m:val="p"/>
                </m:rPr>
                <m:t>+</m:t>
              </m:r>
              <m:sSub>
                <m:e>
                  <m:r>
                    <m:t>C</m:t>
                  </m:r>
                </m:e>
                <m:sub>
                  <m:r>
                    <m:t>l</m:t>
                  </m:r>
                  <m:r>
                    <m:t>d</m:t>
                  </m:r>
                  <m:r>
                    <m:t>x</m:t>
                  </m:r>
                </m:sub>
              </m:sSub>
            </m:den>
          </m:f>
        </m:oMath>
      </m:oMathPara>
    </w:p>
    <w:p>
      <w:pPr>
        <w:pStyle w:val="FirstParagraph"/>
      </w:pPr>
      <m:oMathPara>
        <m:oMathParaPr>
          <m:jc m:val="center"/>
        </m:oMathParaPr>
        <m:oMath>
          <m:f>
            <m:fPr>
              <m:type m:val="bar"/>
            </m:fPr>
            <m:num>
              <m:r>
                <m:t>d</m:t>
              </m:r>
              <m:sSub>
                <m:e>
                  <m:r>
                    <m:t>A</m:t>
                  </m:r>
                </m:e>
                <m:sub>
                  <m:r>
                    <m:t>1</m:t>
                  </m:r>
                </m:sub>
              </m:sSub>
            </m:num>
            <m:den>
              <m:r>
                <m:t>d</m:t>
              </m:r>
              <m:r>
                <m:t>t</m:t>
              </m:r>
            </m:den>
          </m:f>
          <m:r>
            <m:rPr>
              <m:sty m:val="p"/>
            </m:rPr>
            <m:t>=</m:t>
          </m:r>
          <m:r>
            <m:t>c</m:t>
          </m:r>
          <m:r>
            <m:t>o</m:t>
          </m:r>
          <m:r>
            <m:t>n</m:t>
          </m:r>
          <m:sSub>
            <m:e>
              <m:r>
                <m:t>v</m:t>
              </m:r>
            </m:e>
            <m:sub>
              <m:r>
                <m:t>r</m:t>
              </m:r>
              <m:r>
                <m:t>a</m:t>
              </m:r>
              <m:r>
                <m:t>t</m:t>
              </m:r>
              <m:r>
                <m:t>e</m:t>
              </m:r>
            </m:sub>
          </m:sSub>
          <m:r>
            <m:rPr>
              <m:sty m:val="p"/>
            </m:rPr>
            <m:t>⋅</m:t>
          </m:r>
          <m:r>
            <m:t>M</m:t>
          </m:r>
          <m:sSub>
            <m:e>
              <m:r>
                <m:t>W</m:t>
              </m:r>
            </m:e>
            <m:sub>
              <m:r>
                <m:t>r</m:t>
              </m:r>
              <m:r>
                <m:t>a</m:t>
              </m:r>
              <m:r>
                <m:t>t</m:t>
              </m:r>
              <m:r>
                <m:t>i</m:t>
              </m:r>
              <m:r>
                <m:t>o</m:t>
              </m:r>
            </m:sub>
          </m:sSub>
          <m:r>
            <m:rPr>
              <m:sty m:val="p"/>
            </m:rPr>
            <m:t>−</m:t>
          </m:r>
          <m:f>
            <m:fPr>
              <m:type m:val="bar"/>
            </m:fPr>
            <m:num>
              <m:sSub>
                <m:e>
                  <m:r>
                    <m:t>V</m:t>
                  </m:r>
                </m:e>
                <m:sub>
                  <m:r>
                    <m:t>m</m:t>
                  </m:r>
                  <m:r>
                    <m:t>a</m:t>
                  </m:r>
                  <m:r>
                    <m:t>x</m:t>
                  </m:r>
                </m:sub>
              </m:sSub>
              <m:r>
                <m:rPr>
                  <m:sty m:val="p"/>
                </m:rPr>
                <m:t>⋅</m:t>
              </m:r>
              <m:sSub>
                <m:e>
                  <m:r>
                    <m:t>C</m:t>
                  </m:r>
                </m:e>
                <m:sub>
                  <m:r>
                    <m:t>1</m:t>
                  </m:r>
                </m:sub>
              </m:sSub>
            </m:num>
            <m:den>
              <m:sSub>
                <m:e>
                  <m:r>
                    <m:t>K</m:t>
                  </m:r>
                </m:e>
                <m:sub>
                  <m:r>
                    <m:t>m</m:t>
                  </m:r>
                </m:sub>
              </m:sSub>
              <m:r>
                <m:rPr>
                  <m:sty m:val="p"/>
                </m:rPr>
                <m:t>+</m:t>
              </m:r>
              <m:sSub>
                <m:e>
                  <m:r>
                    <m:t>C</m:t>
                  </m:r>
                </m:e>
                <m:sub>
                  <m:r>
                    <m:t>1</m:t>
                  </m:r>
                </m:sub>
              </m:sSub>
            </m:den>
          </m:f>
          <m:r>
            <m:rPr>
              <m:sty m:val="p"/>
            </m:rPr>
            <m:t>−</m:t>
          </m:r>
          <m:r>
            <m:t>Q</m:t>
          </m:r>
          <m:r>
            <m:rPr>
              <m:sty m:val="p"/>
            </m:rPr>
            <m:t>⋅</m:t>
          </m:r>
          <m:r>
            <m:rPr>
              <m:sty m:val="p"/>
            </m:rPr>
            <m:t>(</m:t>
          </m:r>
          <m:sSub>
            <m:e>
              <m:r>
                <m:t>C</m:t>
              </m:r>
            </m:e>
            <m:sub>
              <m:r>
                <m:t>1</m:t>
              </m:r>
            </m:sub>
          </m:sSub>
          <m:r>
            <m:rPr>
              <m:sty m:val="p"/>
            </m:rPr>
            <m:t>−</m:t>
          </m:r>
          <m:sSub>
            <m:e>
              <m:r>
                <m:t>C</m:t>
              </m:r>
            </m:e>
            <m:sub>
              <m:r>
                <m:t>2</m:t>
              </m:r>
            </m:sub>
          </m:sSub>
          <m:r>
            <m:rPr>
              <m:sty m:val="p"/>
            </m:rPr>
            <m:t>)</m:t>
          </m:r>
        </m:oMath>
      </m:oMathPara>
    </w:p>
    <w:p>
      <w:pPr>
        <w:pStyle w:val="FirstParagraph"/>
      </w:pPr>
      <m:oMathPara>
        <m:oMathParaPr>
          <m:jc m:val="center"/>
        </m:oMathParaPr>
        <m:oMath>
          <m:f>
            <m:fPr>
              <m:type m:val="bar"/>
            </m:fPr>
            <m:num>
              <m:r>
                <m:t>d</m:t>
              </m:r>
              <m:sSub>
                <m:e>
                  <m:r>
                    <m:t>A</m:t>
                  </m:r>
                </m:e>
                <m:sub>
                  <m:r>
                    <m:t>2</m:t>
                  </m:r>
                </m:sub>
              </m:sSub>
            </m:num>
            <m:den>
              <m:r>
                <m:t>d</m:t>
              </m:r>
              <m:r>
                <m:t>t</m:t>
              </m:r>
            </m:den>
          </m:f>
          <m:r>
            <m:rPr>
              <m:sty m:val="p"/>
            </m:rPr>
            <m:t>=</m:t>
          </m:r>
          <m:r>
            <m:t>Q</m:t>
          </m:r>
          <m:r>
            <m:rPr>
              <m:sty m:val="p"/>
            </m:rPr>
            <m:t>⋅</m:t>
          </m:r>
          <m:r>
            <m:rPr>
              <m:sty m:val="p"/>
            </m:rPr>
            <m:t>(</m:t>
          </m:r>
          <m:sSub>
            <m:e>
              <m:r>
                <m:t>C</m:t>
              </m:r>
            </m:e>
            <m:sub>
              <m:r>
                <m:t>1</m:t>
              </m:r>
            </m:sub>
          </m:sSub>
          <m:r>
            <m:rPr>
              <m:sty m:val="p"/>
            </m:rPr>
            <m:t>−</m:t>
          </m:r>
          <m:sSub>
            <m:e>
              <m:r>
                <m:t>C</m:t>
              </m:r>
            </m:e>
            <m:sub>
              <m:r>
                <m:t>2</m:t>
              </m:r>
            </m:sub>
          </m:sSub>
          <m:r>
            <m:rPr>
              <m:sty m:val="p"/>
            </m:rPr>
            <m:t>)</m:t>
          </m:r>
        </m:oMath>
      </m:oMathPara>
    </w:p>
    <w:p>
      <w:pPr>
        <w:pStyle w:val="FirstParagraph"/>
      </w:pPr>
      <w:r>
        <w:t xml:space="preserve">where:</w:t>
      </w:r>
    </w:p>
    <w:p>
      <w:pPr>
        <w:pStyle w:val="Compact"/>
        <w:numPr>
          <w:ilvl w:val="0"/>
          <w:numId w:val="1001"/>
        </w:numPr>
      </w:pPr>
      <m:oMath>
        <m:sSub>
          <m:e>
            <m:r>
              <m:t>C</m:t>
            </m:r>
          </m:e>
          <m:sub>
            <m:r>
              <m:t>l</m:t>
            </m:r>
            <m:r>
              <m:t>d</m:t>
            </m:r>
            <m:r>
              <m:t>x</m:t>
            </m:r>
          </m:sub>
        </m:sSub>
        <m:r>
          <m:rPr>
            <m:sty m:val="p"/>
          </m:rPr>
          <m:t>=</m:t>
        </m:r>
        <m:sSub>
          <m:e>
            <m:r>
              <m:t>A</m:t>
            </m:r>
          </m:e>
          <m:sub>
            <m:r>
              <m:t>p</m:t>
            </m:r>
            <m:r>
              <m:t>r</m:t>
            </m:r>
            <m:r>
              <m:t>o</m:t>
            </m:r>
          </m:sub>
        </m:sSub>
        <m:r>
          <m:rPr>
            <m:sty m:val="p"/>
          </m:rPr>
          <m:t>/</m:t>
        </m:r>
        <m:sSub>
          <m:e>
            <m:r>
              <m:t>V</m:t>
            </m:r>
          </m:e>
          <m:sub>
            <m:r>
              <m:t>b</m:t>
            </m:r>
            <m:r>
              <m:t>l</m:t>
            </m:r>
            <m:r>
              <m:t>o</m:t>
            </m:r>
            <m:r>
              <m:t>o</m:t>
            </m:r>
            <m:r>
              <m:t>d</m:t>
            </m:r>
          </m:sub>
        </m:sSub>
      </m:oMath>
      <w:r>
        <w:t xml:space="preserve"> </w:t>
      </w:r>
      <w:r>
        <w:t xml:space="preserve">(LDX concentration in blood, mg/L)</w:t>
      </w:r>
    </w:p>
    <w:p>
      <w:pPr>
        <w:pStyle w:val="Compact"/>
        <w:numPr>
          <w:ilvl w:val="0"/>
          <w:numId w:val="1001"/>
        </w:numPr>
      </w:pPr>
      <m:oMath>
        <m:sSub>
          <m:e>
            <m:r>
              <m:t>C</m:t>
            </m:r>
          </m:e>
          <m:sub>
            <m:r>
              <m:t>1</m:t>
            </m:r>
          </m:sub>
        </m:sSub>
        <m:r>
          <m:rPr>
            <m:sty m:val="p"/>
          </m:rPr>
          <m:t>=</m:t>
        </m:r>
        <m:sSub>
          <m:e>
            <m:r>
              <m:t>A</m:t>
            </m:r>
          </m:e>
          <m:sub>
            <m:r>
              <m:t>1</m:t>
            </m:r>
          </m:sub>
        </m:sSub>
        <m:r>
          <m:rPr>
            <m:sty m:val="p"/>
          </m:rPr>
          <m:t>/</m:t>
        </m:r>
        <m:sSub>
          <m:e>
            <m:r>
              <m:t>V</m:t>
            </m:r>
          </m:e>
          <m:sub>
            <m:r>
              <m:t>1</m:t>
            </m:r>
          </m:sub>
        </m:sSub>
      </m:oMath>
      <w:r>
        <w:t xml:space="preserve"> </w:t>
      </w:r>
      <w:r>
        <w:t xml:space="preserve">(d-AMP central compartment concentration, mg/L)</w:t>
      </w:r>
    </w:p>
    <w:p>
      <w:pPr>
        <w:pStyle w:val="Compact"/>
        <w:numPr>
          <w:ilvl w:val="0"/>
          <w:numId w:val="1001"/>
        </w:numPr>
      </w:pPr>
      <m:oMath>
        <m:sSub>
          <m:e>
            <m:r>
              <m:t>C</m:t>
            </m:r>
          </m:e>
          <m:sub>
            <m:r>
              <m:t>2</m:t>
            </m:r>
          </m:sub>
        </m:sSub>
        <m:r>
          <m:rPr>
            <m:sty m:val="p"/>
          </m:rPr>
          <m:t>=</m:t>
        </m:r>
        <m:sSub>
          <m:e>
            <m:r>
              <m:t>A</m:t>
            </m:r>
          </m:e>
          <m:sub>
            <m:r>
              <m:t>2</m:t>
            </m:r>
          </m:sub>
        </m:sSub>
        <m:r>
          <m:rPr>
            <m:sty m:val="p"/>
          </m:rPr>
          <m:t>/</m:t>
        </m:r>
        <m:sSub>
          <m:e>
            <m:r>
              <m:t>V</m:t>
            </m:r>
          </m:e>
          <m:sub>
            <m:r>
              <m:t>2</m:t>
            </m:r>
          </m:sub>
        </m:sSub>
      </m:oMath>
      <w:r>
        <w:t xml:space="preserve"> </w:t>
      </w:r>
      <w:r>
        <w:t xml:space="preserve">(d-AMP peripheral compartment concentration, mg/L)</w:t>
      </w:r>
    </w:p>
    <w:p>
      <w:pPr>
        <w:pStyle w:val="Compact"/>
        <w:numPr>
          <w:ilvl w:val="0"/>
          <w:numId w:val="1001"/>
        </w:numPr>
      </w:pPr>
      <m:oMath>
        <m:r>
          <m:t>c</m:t>
        </m:r>
        <m:r>
          <m:t>o</m:t>
        </m:r>
        <m:r>
          <m:t>n</m:t>
        </m:r>
        <m:sSub>
          <m:e>
            <m:r>
              <m:t>v</m:t>
            </m:r>
          </m:e>
          <m:sub>
            <m:r>
              <m:t>r</m:t>
            </m:r>
            <m:r>
              <m:t>a</m:t>
            </m:r>
            <m:r>
              <m:t>t</m:t>
            </m:r>
            <m:r>
              <m:t>e</m:t>
            </m:r>
          </m:sub>
        </m:sSub>
        <m:r>
          <m:rPr>
            <m:sty m:val="p"/>
          </m:rPr>
          <m:t>=</m:t>
        </m:r>
        <m:sSub>
          <m:e>
            <m:r>
              <m:t>V</m:t>
            </m:r>
          </m:e>
          <m:sub>
            <m:r>
              <m:t>m</m:t>
            </m:r>
            <m:r>
              <m:t>a</m:t>
            </m:r>
            <m:r>
              <m:t>x</m:t>
            </m:r>
            <m:r>
              <m:rPr>
                <m:sty m:val="p"/>
              </m:rPr>
              <m:t>,</m:t>
            </m:r>
            <m:r>
              <m:t>c</m:t>
            </m:r>
            <m:r>
              <m:t>o</m:t>
            </m:r>
            <m:r>
              <m:t>n</m:t>
            </m:r>
            <m:r>
              <m:t>v</m:t>
            </m:r>
          </m:sub>
        </m:sSub>
        <m:r>
          <m:rPr>
            <m:sty m:val="p"/>
          </m:rPr>
          <m:t>⋅</m:t>
        </m:r>
        <m:sSub>
          <m:e>
            <m:r>
              <m:t>C</m:t>
            </m:r>
          </m:e>
          <m:sub>
            <m:r>
              <m:t>l</m:t>
            </m:r>
            <m:r>
              <m:t>d</m:t>
            </m:r>
            <m:r>
              <m:t>x</m:t>
            </m:r>
          </m:sub>
        </m:sSub>
        <m:r>
          <m:rPr>
            <m:sty m:val="p"/>
          </m:rPr>
          <m:t>/</m:t>
        </m:r>
        <m:r>
          <m:rPr>
            <m:sty m:val="p"/>
          </m:rPr>
          <m:t>(</m:t>
        </m:r>
        <m:sSub>
          <m:e>
            <m:r>
              <m:t>K</m:t>
            </m:r>
          </m:e>
          <m:sub>
            <m:r>
              <m:t>m</m:t>
            </m:r>
            <m:r>
              <m:rPr>
                <m:sty m:val="p"/>
              </m:rPr>
              <m:t>,</m:t>
            </m:r>
            <m:r>
              <m:t>c</m:t>
            </m:r>
            <m:r>
              <m:t>o</m:t>
            </m:r>
            <m:r>
              <m:t>n</m:t>
            </m:r>
            <m:r>
              <m:t>v</m:t>
            </m:r>
          </m:sub>
        </m:sSub>
        <m:r>
          <m:rPr>
            <m:sty m:val="p"/>
          </m:rPr>
          <m:t>+</m:t>
        </m:r>
        <m:sSub>
          <m:e>
            <m:r>
              <m:t>C</m:t>
            </m:r>
          </m:e>
          <m:sub>
            <m:r>
              <m:t>l</m:t>
            </m:r>
            <m:r>
              <m:t>d</m:t>
            </m:r>
            <m:r>
              <m:t>x</m:t>
            </m:r>
          </m:sub>
        </m:sSub>
        <m:r>
          <m:rPr>
            <m:sty m:val="p"/>
          </m:rPr>
          <m:t>)</m:t>
        </m:r>
      </m:oMath>
      <w:r>
        <w:t xml:space="preserve"> </w:t>
      </w:r>
      <w:r>
        <w:t xml:space="preserve">(enzymatic conversion rate, mg/h)</w:t>
      </w:r>
    </w:p>
    <w:p>
      <w:pPr>
        <w:pStyle w:val="Compact"/>
        <w:numPr>
          <w:ilvl w:val="0"/>
          <w:numId w:val="1001"/>
        </w:numPr>
      </w:pPr>
      <m:oMath>
        <m:r>
          <m:t>M</m:t>
        </m:r>
        <m:sSub>
          <m:e>
            <m:r>
              <m:t>W</m:t>
            </m:r>
          </m:e>
          <m:sub>
            <m:r>
              <m:t>r</m:t>
            </m:r>
            <m:r>
              <m:t>a</m:t>
            </m:r>
            <m:r>
              <m:t>t</m:t>
            </m:r>
            <m:r>
              <m:t>i</m:t>
            </m:r>
            <m:r>
              <m:t>o</m:t>
            </m:r>
          </m:sub>
        </m:sSub>
      </m:oMath>
      <w:r>
        <w:t xml:space="preserve"> </w:t>
      </w:r>
      <w:r>
        <w:t xml:space="preserve">= molar mass of d-AMP divided by molar mass of LDX = 0.5135 (dimensionless)</w:t>
      </w:r>
    </w:p>
    <w:p>
      <w:pPr>
        <w:pStyle w:val="Compact"/>
        <w:numPr>
          <w:ilvl w:val="0"/>
          <w:numId w:val="1001"/>
        </w:numPr>
      </w:pPr>
      <m:oMath>
        <m:r>
          <m:t>Q</m:t>
        </m:r>
      </m:oMath>
      <w:r>
        <w:t xml:space="preserve"> </w:t>
      </w:r>
      <w:r>
        <w:t xml:space="preserve">= intercompartmental clearance (L/h), defined as</w:t>
      </w:r>
      <w:r>
        <w:t xml:space="preserve"> </w:t>
      </w:r>
      <m:oMath>
        <m:sSub>
          <m:e>
            <m:r>
              <m:t>Q</m:t>
            </m:r>
          </m:e>
          <m:sub>
            <m:r>
              <m:t>r</m:t>
            </m:r>
            <m:r>
              <m:t>a</m:t>
            </m:r>
            <m:r>
              <m:t>t</m:t>
            </m:r>
            <m:r>
              <m:t>i</m:t>
            </m:r>
            <m:r>
              <m:t>o</m:t>
            </m:r>
          </m:sub>
        </m:sSub>
        <m:r>
          <m:rPr>
            <m:sty m:val="p"/>
          </m:rPr>
          <m:t>⋅</m:t>
        </m:r>
        <m:sSub>
          <m:e>
            <m:r>
              <m:t>V</m:t>
            </m:r>
          </m:e>
          <m:sub>
            <m:r>
              <m:t>1</m:t>
            </m:r>
          </m:sub>
        </m:sSub>
      </m:oMath>
    </w:p>
    <w:p>
      <w:pPr>
        <w:pStyle w:val="Compact"/>
        <w:numPr>
          <w:ilvl w:val="0"/>
          <w:numId w:val="1001"/>
        </w:numPr>
      </w:pPr>
      <m:oMath>
        <m:r>
          <m:t>F</m:t>
        </m:r>
      </m:oMath>
      <w:r>
        <w:t xml:space="preserve"> </w:t>
      </w:r>
      <w:r>
        <w:t xml:space="preserve">= bioavailability fraction (0.96)</w:t>
      </w:r>
    </w:p>
    <w:p>
      <w:pPr>
        <w:pStyle w:val="FirstParagraph"/>
      </w:pPr>
      <w:r>
        <w:t xml:space="preserve">The enzymatic conversion of LDX to d-AMP is modelled by Michaelis-Menten kinetics applied to the blood prodrug compartment. The high value of</w:t>
      </w:r>
      <w:r>
        <w:t xml:space="preserve"> </w:t>
      </w:r>
      <m:oMath>
        <m:sSub>
          <m:e>
            <m:r>
              <m:t>K</m:t>
            </m:r>
          </m:e>
          <m:sub>
            <m:r>
              <m:t>m</m:t>
            </m:r>
            <m:r>
              <m:rPr>
                <m:sty m:val="p"/>
              </m:rPr>
              <m:t>,</m:t>
            </m:r>
            <m:r>
              <m:t>c</m:t>
            </m:r>
            <m:r>
              <m:t>o</m:t>
            </m:r>
            <m:r>
              <m:t>n</m:t>
            </m:r>
            <m:r>
              <m:t>v</m:t>
            </m:r>
          </m:sub>
        </m:sSub>
      </m:oMath>
      <w:r>
        <w:t xml:space="preserve"> </w:t>
      </w:r>
      <w:r>
        <w:t xml:space="preserve">(15.0 mg/L) relative to typical LDX blood concentrations at therapeutic doses ensures that conversion proceeds in a largely first-order fashion at approved doses, consistent with the empirical dose-proportionality of d-AMP Cmax observed clinically [4]. Elimination of d-AMP from the central compartment is likewise described by Michaelis-Menten kinetics with a</w:t>
      </w:r>
      <w:r>
        <w:t xml:space="preserve"> </w:t>
      </w:r>
      <m:oMath>
        <m:sSub>
          <m:e>
            <m:r>
              <m:t>K</m:t>
            </m:r>
          </m:e>
          <m:sub>
            <m:r>
              <m:t>m</m:t>
            </m:r>
          </m:sub>
        </m:sSub>
      </m:oMath>
      <w:r>
        <w:t xml:space="preserve"> </w:t>
      </w:r>
      <w:r>
        <w:t xml:space="preserve">of 0.3 mg/L, a value chosen to reproduce the known terminal half-life of approximately 11 hours [1].</w:t>
      </w:r>
    </w:p>
    <w:p>
      <w:pPr>
        <w:pStyle w:val="BodyText"/>
      </w:pPr>
      <w:r>
        <w:t xml:space="preserve">The two-compartment structure for d-AMP accommodates the well-established peripheral distribution of amphetamine into tissue, which is quantitatively important for the shape of the concentration-time profile but does not affect peak concentrations substantially. Bidirectional intercompartmental transfer is governed by the concentration gradient</w:t>
      </w:r>
      <w:r>
        <w:t xml:space="preserve"> </w:t>
      </w:r>
      <m:oMath>
        <m:r>
          <m:rPr>
            <m:sty m:val="p"/>
          </m:rPr>
          <m:t>(</m:t>
        </m:r>
        <m:sSub>
          <m:e>
            <m:r>
              <m:t>C</m:t>
            </m:r>
          </m:e>
          <m:sub>
            <m:r>
              <m:t>1</m:t>
            </m:r>
          </m:sub>
        </m:sSub>
        <m:r>
          <m:rPr>
            <m:sty m:val="p"/>
          </m:rPr>
          <m:t>−</m:t>
        </m:r>
        <m:sSub>
          <m:e>
            <m:r>
              <m:t>C</m:t>
            </m:r>
          </m:e>
          <m:sub>
            <m:r>
              <m:t>2</m:t>
            </m:r>
          </m:sub>
        </m:sSub>
        <m:r>
          <m:rPr>
            <m:sty m:val="p"/>
          </m:rPr>
          <m:t>)</m:t>
        </m:r>
      </m:oMath>
      <w:r>
        <w:t xml:space="preserve"> </w:t>
      </w:r>
      <w:r>
        <w:t xml:space="preserve">multiplied by a rate coefficient</w:t>
      </w:r>
      <w:r>
        <w:t xml:space="preserve"> </w:t>
      </w:r>
      <m:oMath>
        <m:r>
          <m:t>Q</m:t>
        </m:r>
      </m:oMath>
      <w:r>
        <w:t xml:space="preserve">.</w:t>
      </w:r>
    </w:p>
    <w:bookmarkEnd w:id="11"/>
    <w:bookmarkStart w:id="12" w:name="parameter-estimation"/>
    <w:p>
      <w:pPr>
        <w:pStyle w:val="Heading3"/>
      </w:pPr>
      <w:r>
        <w:t xml:space="preserve">2.2 Parameter Estimation</w:t>
      </w:r>
    </w:p>
    <w:p>
      <w:pPr>
        <w:pStyle w:val="FirstParagraph"/>
      </w:pPr>
      <w:r>
        <w:t xml:space="preserve">All model parameters were fixed to values obtained from the primary published literature. No parameters were optimised against any of the validation datasets; the model is therefore purely predictive with respect to all external comparisons reported here.</w:t>
      </w:r>
    </w:p>
    <w:p>
      <w:pPr>
        <w:pStyle w:val="BodyText"/>
      </w:pPr>
      <w:r>
        <w:t xml:space="preserve">The absorption rate constants for fasting (</w:t>
      </w:r>
      <m:oMath>
        <m:sSub>
          <m:e>
            <m:r>
              <m:t>k</m:t>
            </m:r>
          </m:e>
          <m:sub>
            <m:r>
              <m:t>a</m:t>
            </m:r>
          </m:sub>
        </m:sSub>
        <m:r>
          <m:rPr>
            <m:sty m:val="p"/>
          </m:rPr>
          <m:t>=</m:t>
        </m:r>
        <m:r>
          <m:t>0.85</m:t>
        </m:r>
      </m:oMath>
      <w:r>
        <w:t xml:space="preserve"> </w:t>
      </w:r>
      <w:r>
        <w:t xml:space="preserve">h⁻¹) and fed (</w:t>
      </w:r>
      <m:oMath>
        <m:sSub>
          <m:e>
            <m:r>
              <m:t>k</m:t>
            </m:r>
          </m:e>
          <m:sub>
            <m:r>
              <m:t>a</m:t>
            </m:r>
          </m:sub>
        </m:sSub>
        <m:r>
          <m:rPr>
            <m:sty m:val="p"/>
          </m:rPr>
          <m:t>=</m:t>
        </m:r>
        <m:r>
          <m:t>0.50</m:t>
        </m:r>
      </m:oMath>
      <w:r>
        <w:t xml:space="preserve"> </w:t>
      </w:r>
      <w:r>
        <w:t xml:space="preserve">h⁻¹) conditions were taken directly from the human pharmacokinetic study of Pennick (2010) [1], as was the bioavailability fraction</w:t>
      </w:r>
      <w:r>
        <w:t xml:space="preserve"> </w:t>
      </w:r>
      <m:oMath>
        <m:r>
          <m:t>F</m:t>
        </m:r>
        <m:r>
          <m:rPr>
            <m:sty m:val="p"/>
          </m:rPr>
          <m:t>=</m:t>
        </m:r>
        <m:r>
          <m:t>0.96</m:t>
        </m:r>
      </m:oMath>
      <w:r>
        <w:t xml:space="preserve">. The terminal half-life anchor of 11 hours [1] was used to derive the apparent first-order elimination rate</w:t>
      </w:r>
      <w:r>
        <w:t xml:space="preserve"> </w:t>
      </w:r>
      <m:oMath>
        <m:sSub>
          <m:e>
            <m:r>
              <m:t>K</m:t>
            </m:r>
          </m:e>
          <m:sub>
            <m:r>
              <m:t>E</m:t>
            </m:r>
          </m:sub>
        </m:sSub>
        <m:r>
          <m:rPr>
            <m:sty m:val="p"/>
          </m:rPr>
          <m:t>=</m:t>
        </m:r>
        <m:r>
          <m:rPr>
            <m:sty m:val="p"/>
          </m:rPr>
          <m:t>ln</m:t>
        </m:r>
        <m:r>
          <m:rPr>
            <m:sty m:val="p"/>
          </m:rPr>
          <m:t>(</m:t>
        </m:r>
        <m:r>
          <m:t>2</m:t>
        </m:r>
        <m:r>
          <m:rPr>
            <m:sty m:val="p"/>
          </m:rPr>
          <m:t>)</m:t>
        </m:r>
        <m:r>
          <m:rPr>
            <m:sty m:val="p"/>
          </m:rPr>
          <m:t>/</m:t>
        </m:r>
        <m:r>
          <m:t>11</m:t>
        </m:r>
        <m:r>
          <m:rPr>
            <m:sty m:val="p"/>
          </m:rPr>
          <m:t>=</m:t>
        </m:r>
        <m:r>
          <m:t>0.0630</m:t>
        </m:r>
      </m:oMath>
      <w:r>
        <w:t xml:space="preserve"> </w:t>
      </w:r>
      <w:r>
        <w:t xml:space="preserve">h⁻¹, which in turn defined</w:t>
      </w:r>
      <w:r>
        <w:t xml:space="preserve"> </w:t>
      </w:r>
      <m:oMath>
        <m:sSub>
          <m:e>
            <m:r>
              <m:t>V</m:t>
            </m:r>
          </m:e>
          <m:sub>
            <m:r>
              <m:t>m</m:t>
            </m:r>
            <m:r>
              <m:t>a</m:t>
            </m:r>
            <m:r>
              <m:t>x</m:t>
            </m:r>
            <m:r>
              <m:rPr>
                <m:sty m:val="p"/>
              </m:rPr>
              <m:t>,</m:t>
            </m:r>
            <m:r>
              <m:t>e</m:t>
            </m:r>
            <m:r>
              <m:t>l</m:t>
            </m:r>
            <m:r>
              <m:t>i</m:t>
            </m:r>
            <m:r>
              <m:t>m</m:t>
            </m:r>
          </m:sub>
        </m:sSub>
        <m:r>
          <m:rPr>
            <m:sty m:val="p"/>
          </m:rPr>
          <m:t>=</m:t>
        </m:r>
        <m:sSub>
          <m:e>
            <m:r>
              <m:t>K</m:t>
            </m:r>
          </m:e>
          <m:sub>
            <m:r>
              <m:t>E</m:t>
            </m:r>
          </m:sub>
        </m:sSub>
        <m:r>
          <m:rPr>
            <m:sty m:val="p"/>
          </m:rPr>
          <m:t>⋅</m:t>
        </m:r>
        <m:sSub>
          <m:e>
            <m:r>
              <m:t>V</m:t>
            </m:r>
          </m:e>
          <m:sub>
            <m:r>
              <m:t>1</m:t>
            </m:r>
          </m:sub>
        </m:sSub>
        <m:r>
          <m:rPr>
            <m:sty m:val="p"/>
          </m:rPr>
          <m:t>⋅</m:t>
        </m:r>
        <m:sSub>
          <m:e>
            <m:r>
              <m:t>K</m:t>
            </m:r>
          </m:e>
          <m:sub>
            <m:r>
              <m:t>m</m:t>
            </m:r>
            <m:r>
              <m:rPr>
                <m:sty m:val="p"/>
              </m:rPr>
              <m:t>,</m:t>
            </m:r>
            <m:r>
              <m:t>e</m:t>
            </m:r>
            <m:r>
              <m:t>l</m:t>
            </m:r>
            <m:r>
              <m:t>i</m:t>
            </m:r>
            <m:r>
              <m:t>m</m:t>
            </m:r>
          </m:sub>
        </m:sSub>
      </m:oMath>
      <w:r>
        <w:t xml:space="preserve">. The apparent conversion rate constant</w:t>
      </w:r>
      <w:r>
        <w:t xml:space="preserve"> </w:t>
      </w:r>
      <m:oMath>
        <m:sSub>
          <m:e>
            <m:r>
              <m:t>k</m:t>
            </m:r>
          </m:e>
          <m:sub>
            <m:r>
              <m:t>c</m:t>
            </m:r>
            <m:r>
              <m:t>o</m:t>
            </m:r>
            <m:r>
              <m:t>n</m:t>
            </m:r>
            <m:r>
              <m:t>v</m:t>
            </m:r>
            <m:r>
              <m:rPr>
                <m:sty m:val="p"/>
              </m:rPr>
              <m:t>,</m:t>
            </m:r>
            <m:r>
              <m:t>a</m:t>
            </m:r>
            <m:r>
              <m:t>p</m:t>
            </m:r>
            <m:r>
              <m:t>p</m:t>
            </m:r>
            <m:r>
              <m:t>a</m:t>
            </m:r>
            <m:r>
              <m:t>r</m:t>
            </m:r>
            <m:r>
              <m:t>e</m:t>
            </m:r>
            <m:r>
              <m:t>n</m:t>
            </m:r>
            <m:r>
              <m:t>t</m:t>
            </m:r>
          </m:sub>
        </m:sSub>
        <m:r>
          <m:rPr>
            <m:sty m:val="p"/>
          </m:rPr>
          <m:t>=</m:t>
        </m:r>
        <m:r>
          <m:t>2.0</m:t>
        </m:r>
      </m:oMath>
      <w:r>
        <w:t xml:space="preserve"> </w:t>
      </w:r>
      <w:r>
        <w:t xml:space="preserve">h⁻¹ was chosen to reproduce the characteristic shape of the d-AMP Tmax (~3.5–4 h) for a fasting 70 kg adult at 70 mg, consistent with the Krishnan and Zhang (2008) dataset [3].</w:t>
      </w:r>
    </w:p>
    <w:p>
      <w:pPr>
        <w:pStyle w:val="BodyText"/>
      </w:pPr>
      <w:r>
        <w:t xml:space="preserve">Volume of distribution (</w:t>
      </w:r>
      <m:oMath>
        <m:sSub>
          <m:e>
            <m:r>
              <m:t>V</m:t>
            </m:r>
          </m:e>
          <m:sub>
            <m:r>
              <m:t>d</m:t>
            </m:r>
          </m:sub>
        </m:sSub>
        <m:r>
          <m:rPr>
            <m:sty m:val="p"/>
          </m:rPr>
          <m:t>=</m:t>
        </m:r>
        <m:r>
          <m:t>3.5</m:t>
        </m:r>
      </m:oMath>
      <w:r>
        <w:t xml:space="preserve"> </w:t>
      </w:r>
      <w:r>
        <w:t xml:space="preserve">L/kg) and blood volume (</w:t>
      </w:r>
      <m:oMath>
        <m:sSub>
          <m:e>
            <m:r>
              <m:t>V</m:t>
            </m:r>
          </m:e>
          <m:sub>
            <m:r>
              <m:t>b</m:t>
            </m:r>
            <m:r>
              <m:t>l</m:t>
            </m:r>
            <m:r>
              <m:t>o</m:t>
            </m:r>
            <m:r>
              <m:t>o</m:t>
            </m:r>
            <m:r>
              <m:t>d</m:t>
            </m:r>
          </m:sub>
        </m:sSub>
        <m:r>
          <m:rPr>
            <m:sty m:val="p"/>
          </m:rPr>
          <m:t>=</m:t>
        </m:r>
        <m:r>
          <m:t>0.07</m:t>
        </m:r>
      </m:oMath>
      <w:r>
        <w:t xml:space="preserve"> </w:t>
      </w:r>
      <w:r>
        <w:t xml:space="preserve">L/kg) were assigned from standard physiological values for amphetamine [1, 5]. The central compartment volume</w:t>
      </w:r>
      <w:r>
        <w:t xml:space="preserve"> </w:t>
      </w:r>
      <m:oMath>
        <m:sSub>
          <m:e>
            <m:r>
              <m:t>V</m:t>
            </m:r>
          </m:e>
          <m:sub>
            <m:r>
              <m:t>1</m:t>
            </m:r>
          </m:sub>
        </m:sSub>
      </m:oMath>
      <w:r>
        <w:t xml:space="preserve"> </w:t>
      </w:r>
      <w:r>
        <w:t xml:space="preserve">was set as</w:t>
      </w:r>
      <w:r>
        <w:t xml:space="preserve"> </w:t>
      </w:r>
      <m:oMath>
        <m:sSub>
          <m:e>
            <m:r>
              <m:t>V</m:t>
            </m:r>
          </m:e>
          <m:sub>
            <m:r>
              <m:t>d</m:t>
            </m:r>
          </m:sub>
        </m:sSub>
        <m:r>
          <m:rPr>
            <m:sty m:val="p"/>
          </m:rPr>
          <m:t>/</m:t>
        </m:r>
        <m:r>
          <m:rPr>
            <m:sty m:val="p"/>
          </m:rPr>
          <m:t>(</m:t>
        </m:r>
        <m:r>
          <m:t>1</m:t>
        </m:r>
        <m:r>
          <m:rPr>
            <m:sty m:val="p"/>
          </m:rPr>
          <m:t>+</m:t>
        </m:r>
        <m:sSub>
          <m:e>
            <m:r>
              <m:t>V</m:t>
            </m:r>
          </m:e>
          <m:sub>
            <m:r>
              <m:t>2</m:t>
            </m:r>
            <m:r>
              <m:t> </m:t>
            </m:r>
            <m:r>
              <m:t>r</m:t>
            </m:r>
            <m:r>
              <m:t>a</m:t>
            </m:r>
            <m:r>
              <m:t>t</m:t>
            </m:r>
            <m:r>
              <m:t>i</m:t>
            </m:r>
            <m:r>
              <m:t>o</m:t>
            </m:r>
          </m:sub>
        </m:sSub>
        <m:r>
          <m:rPr>
            <m:sty m:val="p"/>
          </m:rPr>
          <m:t>)</m:t>
        </m:r>
      </m:oMath>
      <w:r>
        <w:t xml:space="preserve"> </w:t>
      </w:r>
      <w:r>
        <w:t xml:space="preserve">with</w:t>
      </w:r>
      <w:r>
        <w:t xml:space="preserve"> </w:t>
      </w:r>
      <m:oMath>
        <m:sSub>
          <m:e>
            <m:r>
              <m:t>V</m:t>
            </m:r>
          </m:e>
          <m:sub>
            <m:r>
              <m:t>2</m:t>
            </m:r>
            <m:r>
              <m:t> </m:t>
            </m:r>
            <m:r>
              <m:t>r</m:t>
            </m:r>
            <m:r>
              <m:t>a</m:t>
            </m:r>
            <m:r>
              <m:t>t</m:t>
            </m:r>
            <m:r>
              <m:t>i</m:t>
            </m:r>
            <m:r>
              <m:t>o</m:t>
            </m:r>
          </m:sub>
        </m:sSub>
        <m:r>
          <m:rPr>
            <m:sty m:val="p"/>
          </m:rPr>
          <m:t>=</m:t>
        </m:r>
        <m:r>
          <m:t>1.5</m:t>
        </m:r>
      </m:oMath>
      <w:r>
        <w:t xml:space="preserve">, and the peripheral volume</w:t>
      </w:r>
      <w:r>
        <w:t xml:space="preserve"> </w:t>
      </w:r>
      <m:oMath>
        <m:sSub>
          <m:e>
            <m:r>
              <m:t>V</m:t>
            </m:r>
          </m:e>
          <m:sub>
            <m:r>
              <m:t>2</m:t>
            </m:r>
          </m:sub>
        </m:sSub>
        <m:r>
          <m:rPr>
            <m:sty m:val="p"/>
          </m:rPr>
          <m:t>=</m:t>
        </m:r>
        <m:sSub>
          <m:e>
            <m:r>
              <m:t>V</m:t>
            </m:r>
          </m:e>
          <m:sub>
            <m:r>
              <m:t>2</m:t>
            </m:r>
            <m:r>
              <m:t> </m:t>
            </m:r>
            <m:r>
              <m:t>r</m:t>
            </m:r>
            <m:r>
              <m:t>a</m:t>
            </m:r>
            <m:r>
              <m:t>t</m:t>
            </m:r>
            <m:r>
              <m:t>i</m:t>
            </m:r>
            <m:r>
              <m:t>o</m:t>
            </m:r>
          </m:sub>
        </m:sSub>
        <m:r>
          <m:rPr>
            <m:sty m:val="p"/>
          </m:rPr>
          <m:t>⋅</m:t>
        </m:r>
        <m:sSub>
          <m:e>
            <m:r>
              <m:t>V</m:t>
            </m:r>
          </m:e>
          <m:sub>
            <m:r>
              <m:t>1</m:t>
            </m:r>
          </m:sub>
        </m:sSub>
      </m:oMath>
      <w:r>
        <w:t xml:space="preserve">. All volumetric parameters were scaled linearly with body weight in kilograms [20, 21], a standard first approximation for the weight range represented in the validation datasets (34–70 kg). Simulations for paediatric datasets used the mean reported body weight of 34 kg (Boellner et al. 2010 [2]); adult simulations used 70 kg. Complete parameter values and their sources are provided in Table 1.</w:t>
      </w:r>
    </w:p>
    <w:p>
      <w:pPr>
        <w:pStyle w:val="BodyText"/>
      </w:pPr>
      <w:r>
        <w:t xml:space="preserve">The ODE system was integrated numerically using a fixed-step fourth-order Runge-Kutta (RK4) scheme with a time step of 0.01 h [18, 19], implemented in Python within the dosetrack package. The integration was run from time 0 to 72 h for each simulation scenario. Cmax was defined as the maximum concentration in</w:t>
      </w:r>
      <w:r>
        <w:t xml:space="preserve"> </w:t>
      </w:r>
      <m:oMath>
        <m:sSub>
          <m:e>
            <m:r>
              <m:t>A</m:t>
            </m:r>
          </m:e>
          <m:sub>
            <m:r>
              <m:t>1</m:t>
            </m:r>
          </m:sub>
        </m:sSub>
        <m:r>
          <m:rPr>
            <m:sty m:val="p"/>
          </m:rPr>
          <m:t>/</m:t>
        </m:r>
        <m:sSub>
          <m:e>
            <m:r>
              <m:t>V</m:t>
            </m:r>
          </m:e>
          <m:sub>
            <m:r>
              <m:t>1</m:t>
            </m:r>
          </m:sub>
        </m:sSub>
      </m:oMath>
      <w:r>
        <w:t xml:space="preserve"> </w:t>
      </w:r>
      <w:r>
        <w:t xml:space="preserve">over the simulated interval; Tmax as the time of that maximum; AUC as the trapezoidal integral of</w:t>
      </w:r>
      <w:r>
        <w:t xml:space="preserve"> </w:t>
      </w:r>
      <m:oMath>
        <m:sSub>
          <m:e>
            <m:r>
              <m:t>C</m:t>
            </m:r>
          </m:e>
          <m:sub>
            <m:r>
              <m:t>1</m:t>
            </m:r>
          </m:sub>
        </m:sSub>
        <m:r>
          <m:rPr>
            <m:sty m:val="p"/>
          </m:rPr>
          <m:t>(</m:t>
        </m:r>
        <m:r>
          <m:t>t</m:t>
        </m:r>
        <m:r>
          <m:rPr>
            <m:sty m:val="p"/>
          </m:rPr>
          <m:t>)</m:t>
        </m:r>
      </m:oMath>
      <w:r>
        <w:t xml:space="preserve"> </w:t>
      </w:r>
      <w:r>
        <w:t xml:space="preserve">from 0 to 72 h; and simulated half-life as the time for</w:t>
      </w:r>
      <w:r>
        <w:t xml:space="preserve"> </w:t>
      </w:r>
      <m:oMath>
        <m:sSub>
          <m:e>
            <m:r>
              <m:t>C</m:t>
            </m:r>
          </m:e>
          <m:sub>
            <m:r>
              <m:t>1</m:t>
            </m:r>
          </m:sub>
        </m:sSub>
      </m:oMath>
      <w:r>
        <w:t xml:space="preserve"> </w:t>
      </w:r>
      <w:r>
        <w:t xml:space="preserve">to decline from Cmax to Cmax/2 on the descending limb.</w:t>
      </w:r>
    </w:p>
    <w:bookmarkEnd w:id="12"/>
    <w:bookmarkStart w:id="13" w:name="validation-datasets"/>
    <w:p>
      <w:pPr>
        <w:pStyle w:val="Heading3"/>
      </w:pPr>
      <w:r>
        <w:t xml:space="preserve">2.3 Validation Datasets</w:t>
      </w:r>
    </w:p>
    <w:p>
      <w:pPr>
        <w:pStyle w:val="FirstParagraph"/>
      </w:pPr>
      <w:r>
        <w:t xml:space="preserve">Four published datasets were used as independent external validation comparanda. No data from any of these studies were used in any form during model parameterisation.</w:t>
      </w:r>
    </w:p>
    <w:p>
      <w:pPr>
        <w:pStyle w:val="BodyText"/>
      </w:pPr>
      <w:r>
        <w:rPr>
          <w:b/>
          <w:bCs/>
        </w:rPr>
        <w:t xml:space="preserve">Dataset 1 — Boellner et al. 2010</w:t>
      </w:r>
      <w:r>
        <w:t xml:space="preserve"> </w:t>
      </w:r>
      <w:r>
        <w:t xml:space="preserve">[2]: A randomised, double-blind, placebo-controlled study in children with ADHD aged 6–12 years (mean body weight approximately 34 kg), evaluating LDX at 30, 50, and 70 mg. Pharmacokinetic parameters (Cmax, Tmax, AUC</w:t>
      </w:r>
      <m:oMath>
        <m:sSub>
          <m:e>
            <m:r>
              <m:t>​</m:t>
            </m:r>
          </m:e>
          <m:sub>
            <m:r>
              <m:t>0</m:t>
            </m:r>
            <m:r>
              <m:rPr>
                <m:sty m:val="p"/>
              </m:rPr>
              <m:t>−</m:t>
            </m:r>
            <m:r>
              <m:rPr>
                <m:sty m:val="p"/>
              </m:rPr>
              <m:t>∞</m:t>
            </m:r>
          </m:sub>
        </m:sSub>
      </m:oMath>
      <w:r>
        <w:t xml:space="preserve">, t½) for d-AMP were reported as mean ± SD for each dose group, with approximately 20 participants per group. Children were administered the dose under fasting conditions with a standardised procedure.</w:t>
      </w:r>
    </w:p>
    <w:p>
      <w:pPr>
        <w:pStyle w:val="BodyText"/>
      </w:pPr>
      <w:r>
        <w:rPr>
          <w:b/>
          <w:bCs/>
        </w:rPr>
        <w:t xml:space="preserve">Dataset 2a — Ermer 2016</w:t>
      </w:r>
      <w:r>
        <w:t xml:space="preserve"> </w:t>
      </w:r>
      <w:r>
        <w:t xml:space="preserve">[5]: A consolidated review of pharmacokinetic data from four studies in healthy adult volunteers (70 kg), reporting pooled summary statistics for d-AMP following 50 mg LDX.</w:t>
      </w:r>
    </w:p>
    <w:p>
      <w:pPr>
        <w:pStyle w:val="BodyText"/>
      </w:pPr>
      <w:r>
        <w:rPr>
          <w:b/>
          <w:bCs/>
        </w:rPr>
        <w:t xml:space="preserve">Dataset 2b — Krishnan and Zhang 2008</w:t>
      </w:r>
      <w:r>
        <w:t xml:space="preserve"> </w:t>
      </w:r>
      <w:r>
        <w:t xml:space="preserve">[3]: An open-label crossover bioavailability study in healthy adult volunteers (70 kg) under fasting conditions, providing Cmax, Tmax, AUC, and t½ for 70 mg LDX.</w:t>
      </w:r>
    </w:p>
    <w:p>
      <w:pPr>
        <w:pStyle w:val="BodyText"/>
      </w:pPr>
      <w:r>
        <w:rPr>
          <w:b/>
          <w:bCs/>
        </w:rPr>
        <w:t xml:space="preserve">Dataset 3 — Dolder et al. 2017</w:t>
      </w:r>
      <w:r>
        <w:t xml:space="preserve"> </w:t>
      </w:r>
      <w:r>
        <w:t xml:space="preserve">[6]: An open-label, single-dose study in healthy Swiss adult volunteers (70 kg) receiving 100 mg LDX following a standardised meal. Pharmacokinetic parameters were reported as geometric means with 95% confidence intervals.</w:t>
      </w:r>
    </w:p>
    <w:p>
      <w:pPr>
        <w:pStyle w:val="BodyText"/>
      </w:pPr>
      <w:r>
        <w:t xml:space="preserve">These datasets collectively span a dose range of 30–100 mg, two age/weight groups (paediatric 34 kg; adult 70 kg), and a range of prandial conditions from strict fasting to standardised high-fat meal.</w:t>
      </w:r>
    </w:p>
    <w:bookmarkEnd w:id="13"/>
    <w:bookmarkStart w:id="14" w:name="food-effect-analysis"/>
    <w:p>
      <w:pPr>
        <w:pStyle w:val="Heading3"/>
      </w:pPr>
      <w:r>
        <w:t xml:space="preserve">2.4 Food Effect Analysis</w:t>
      </w:r>
    </w:p>
    <w:p>
      <w:pPr>
        <w:pStyle w:val="FirstParagraph"/>
      </w:pPr>
      <w:r>
        <w:t xml:space="preserve">The Pennick (2010) study [1] established that food delays LDX absorption — delaying Tmax by approximately 0.9 hours — without altering Cmax or AUC. This is mechanistically consistent with a reduction in the gastric emptying-limited first-order absorption rate constant</w:t>
      </w:r>
      <w:r>
        <w:t xml:space="preserve"> </w:t>
      </w:r>
      <m:oMath>
        <m:sSub>
          <m:e>
            <m:r>
              <m:t>k</m:t>
            </m:r>
          </m:e>
          <m:sub>
            <m:r>
              <m:t>a</m:t>
            </m:r>
          </m:sub>
        </m:sSub>
      </m:oMath>
      <w:r>
        <w:t xml:space="preserve"> </w:t>
      </w:r>
      <w:r>
        <w:t xml:space="preserve">from 0.85 h⁻¹ (fasting) to 0.50 h⁻¹ (fed). However, published clinical studies report varying Tmax values intermediate between these two extremes, reflecting different prandial protocols and meal standardisation.</w:t>
      </w:r>
    </w:p>
    <w:p>
      <w:pPr>
        <w:pStyle w:val="BodyText"/>
      </w:pPr>
      <w:r>
        <w:t xml:space="preserve">To estimate the effective prandial state of each published cohort in a model-consistent manner, we performed a back-calculation procedure. For each study, we identified the value of</w:t>
      </w:r>
      <w:r>
        <w:t xml:space="preserve"> </w:t>
      </w:r>
      <m:oMath>
        <m:sSub>
          <m:e>
            <m:r>
              <m:t>k</m:t>
            </m:r>
          </m:e>
          <m:sub>
            <m:r>
              <m:t>a</m:t>
            </m:r>
          </m:sub>
        </m:sSub>
        <m:r>
          <m:rPr>
            <m:sty m:val="p"/>
          </m:rPr>
          <m:t>∈</m:t>
        </m:r>
        <m:r>
          <m:rPr>
            <m:sty m:val="p"/>
          </m:rPr>
          <m:t>[</m:t>
        </m:r>
        <m:r>
          <m:t>0.35</m:t>
        </m:r>
        <m:r>
          <m:rPr>
            <m:sty m:val="p"/>
          </m:rPr>
          <m:t>,</m:t>
        </m:r>
        <m:r>
          <m:t>0.85</m:t>
        </m:r>
        <m:r>
          <m:rPr>
            <m:sty m:val="p"/>
          </m:rPr>
          <m:t>]</m:t>
        </m:r>
      </m:oMath>
      <w:r>
        <w:t xml:space="preserve"> </w:t>
      </w:r>
      <w:r>
        <w:t xml:space="preserve">h⁻¹ (step 0.0025 h⁻¹) that minimised the absolute difference between the analytically predicted Tmax and the published mean Tmax. The analytical Tmax for a one-compartment system is given by:</w:t>
      </w:r>
    </w:p>
    <w:p>
      <w:pPr>
        <w:pStyle w:val="BodyText"/>
      </w:pPr>
      <m:oMathPara>
        <m:oMathParaPr>
          <m:jc m:val="center"/>
        </m:oMathParaPr>
        <m:oMath>
          <m:sSub>
            <m:e>
              <m:r>
                <m:t>T</m:t>
              </m:r>
            </m:e>
            <m:sub>
              <m:r>
                <m:t>m</m:t>
              </m:r>
              <m:r>
                <m:t>a</m:t>
              </m:r>
              <m:r>
                <m:t>x</m:t>
              </m:r>
            </m:sub>
          </m:sSub>
          <m:r>
            <m:rPr>
              <m:sty m:val="p"/>
            </m:rPr>
            <m:t>=</m:t>
          </m:r>
          <m:f>
            <m:fPr>
              <m:type m:val="bar"/>
            </m:fPr>
            <m:num>
              <m:r>
                <m:rPr>
                  <m:sty m:val="p"/>
                </m:rPr>
                <m:t>ln</m:t>
              </m:r>
              <m:r>
                <m:rPr>
                  <m:sty m:val="p"/>
                </m:rPr>
                <m:t>(</m:t>
              </m:r>
              <m:sSub>
                <m:e>
                  <m:r>
                    <m:t>k</m:t>
                  </m:r>
                </m:e>
                <m:sub>
                  <m:r>
                    <m:t>a</m:t>
                  </m:r>
                </m:sub>
              </m:sSub>
              <m:r>
                <m:rPr>
                  <m:sty m:val="p"/>
                </m:rPr>
                <m:t>/</m:t>
              </m:r>
              <m:sSub>
                <m:e>
                  <m:r>
                    <m:t>k</m:t>
                  </m:r>
                </m:e>
                <m:sub>
                  <m:r>
                    <m:t>e</m:t>
                  </m:r>
                </m:sub>
              </m:sSub>
              <m:r>
                <m:rPr>
                  <m:sty m:val="p"/>
                </m:rPr>
                <m:t>)</m:t>
              </m:r>
            </m:num>
            <m:den>
              <m:sSub>
                <m:e>
                  <m:r>
                    <m:t>k</m:t>
                  </m:r>
                </m:e>
                <m:sub>
                  <m:r>
                    <m:t>a</m:t>
                  </m:r>
                </m:sub>
              </m:sSub>
              <m:r>
                <m:rPr>
                  <m:sty m:val="p"/>
                </m:rPr>
                <m:t>−</m:t>
              </m:r>
              <m:sSub>
                <m:e>
                  <m:r>
                    <m:t>k</m:t>
                  </m:r>
                </m:e>
                <m:sub>
                  <m:r>
                    <m:t>e</m:t>
                  </m:r>
                </m:sub>
              </m:sSub>
            </m:den>
          </m:f>
        </m:oMath>
      </m:oMathPara>
    </w:p>
    <w:p>
      <w:pPr>
        <w:pStyle w:val="FirstParagraph"/>
      </w:pPr>
      <w:r>
        <w:t xml:space="preserve">where</w:t>
      </w:r>
      <w:r>
        <w:t xml:space="preserve"> </w:t>
      </w:r>
      <m:oMath>
        <m:sSub>
          <m:e>
            <m:r>
              <m:t>k</m:t>
            </m:r>
          </m:e>
          <m:sub>
            <m:r>
              <m:t>e</m:t>
            </m:r>
          </m:sub>
        </m:sSub>
        <m:r>
          <m:rPr>
            <m:sty m:val="p"/>
          </m:rPr>
          <m:t>=</m:t>
        </m:r>
        <m:sSub>
          <m:e>
            <m:r>
              <m:t>K</m:t>
            </m:r>
          </m:e>
          <m:sub>
            <m:r>
              <m:t>E</m:t>
            </m:r>
          </m:sub>
        </m:sSub>
        <m:r>
          <m:rPr>
            <m:sty m:val="p"/>
          </m:rPr>
          <m:t>=</m:t>
        </m:r>
        <m:r>
          <m:t>0.0630</m:t>
        </m:r>
      </m:oMath>
      <w:r>
        <w:t xml:space="preserve"> </w:t>
      </w:r>
      <w:r>
        <w:t xml:space="preserve">h⁻¹. At</w:t>
      </w:r>
      <w:r>
        <w:t xml:space="preserve"> </w:t>
      </w:r>
      <m:oMath>
        <m:sSub>
          <m:e>
            <m:r>
              <m:t>k</m:t>
            </m:r>
          </m:e>
          <m:sub>
            <m:r>
              <m:t>a</m:t>
            </m:r>
          </m:sub>
        </m:sSub>
        <m:r>
          <m:rPr>
            <m:sty m:val="p"/>
          </m:rPr>
          <m:t>=</m:t>
        </m:r>
        <m:r>
          <m:t>0.85</m:t>
        </m:r>
      </m:oMath>
      <w:r>
        <w:t xml:space="preserve"> </w:t>
      </w:r>
      <w:r>
        <w:t xml:space="preserve">h⁻¹ this yields</w:t>
      </w:r>
      <w:r>
        <w:t xml:space="preserve"> </w:t>
      </w:r>
      <m:oMath>
        <m:sSub>
          <m:e>
            <m:r>
              <m:t>T</m:t>
            </m:r>
          </m:e>
          <m:sub>
            <m:r>
              <m:t>m</m:t>
            </m:r>
            <m:r>
              <m:t>a</m:t>
            </m:r>
            <m:r>
              <m:t>x</m:t>
            </m:r>
            <m:r>
              <m:rPr>
                <m:sty m:val="p"/>
              </m:rPr>
              <m:t>,</m:t>
            </m:r>
            <m:r>
              <m:t>a</m:t>
            </m:r>
            <m:r>
              <m:t>n</m:t>
            </m:r>
            <m:r>
              <m:t>a</m:t>
            </m:r>
            <m:r>
              <m:t>l</m:t>
            </m:r>
            <m:r>
              <m:t>y</m:t>
            </m:r>
            <m:r>
              <m:t>t</m:t>
            </m:r>
            <m:r>
              <m:t>i</m:t>
            </m:r>
            <m:r>
              <m:t>c</m:t>
            </m:r>
          </m:sub>
        </m:sSub>
        <m:r>
          <m:rPr>
            <m:sty m:val="p"/>
          </m:rPr>
          <m:t>=</m:t>
        </m:r>
        <m:r>
          <m:t>3.82</m:t>
        </m:r>
      </m:oMath>
      <w:r>
        <w:t xml:space="preserve"> </w:t>
      </w:r>
      <w:r>
        <w:t xml:space="preserve">h; at</w:t>
      </w:r>
      <w:r>
        <w:t xml:space="preserve"> </w:t>
      </w:r>
      <m:oMath>
        <m:sSub>
          <m:e>
            <m:r>
              <m:t>k</m:t>
            </m:r>
          </m:e>
          <m:sub>
            <m:r>
              <m:t>a</m:t>
            </m:r>
          </m:sub>
        </m:sSub>
        <m:r>
          <m:rPr>
            <m:sty m:val="p"/>
          </m:rPr>
          <m:t>=</m:t>
        </m:r>
        <m:r>
          <m:t>0.50</m:t>
        </m:r>
      </m:oMath>
      <w:r>
        <w:t xml:space="preserve"> </w:t>
      </w:r>
      <w:r>
        <w:t xml:space="preserve">h⁻¹,</w:t>
      </w:r>
      <w:r>
        <w:t xml:space="preserve"> </w:t>
      </w:r>
      <m:oMath>
        <m:sSub>
          <m:e>
            <m:r>
              <m:t>T</m:t>
            </m:r>
          </m:e>
          <m:sub>
            <m:r>
              <m:t>m</m:t>
            </m:r>
            <m:r>
              <m:t>a</m:t>
            </m:r>
            <m:r>
              <m:t>x</m:t>
            </m:r>
            <m:r>
              <m:rPr>
                <m:sty m:val="p"/>
              </m:rPr>
              <m:t>,</m:t>
            </m:r>
            <m:r>
              <m:t>a</m:t>
            </m:r>
            <m:r>
              <m:t>n</m:t>
            </m:r>
            <m:r>
              <m:t>a</m:t>
            </m:r>
            <m:r>
              <m:t>l</m:t>
            </m:r>
            <m:r>
              <m:t>y</m:t>
            </m:r>
            <m:r>
              <m:t>t</m:t>
            </m:r>
            <m:r>
              <m:t>i</m:t>
            </m:r>
            <m:r>
              <m:t>c</m:t>
            </m:r>
          </m:sub>
        </m:sSub>
        <m:r>
          <m:rPr>
            <m:sty m:val="p"/>
          </m:rPr>
          <m:t>=</m:t>
        </m:r>
        <m:r>
          <m:t>4.72</m:t>
        </m:r>
      </m:oMath>
      <w:r>
        <w:t xml:space="preserve"> </w:t>
      </w:r>
      <w:r>
        <w:t xml:space="preserve">h; a difference of 0.90 h that matches the Pennick (2010) empirically observed food delay exactly.</w:t>
      </w:r>
    </w:p>
    <w:p>
      <w:pPr>
        <w:pStyle w:val="BodyText"/>
      </w:pPr>
      <w:r>
        <w:t xml:space="preserve">The fractional fed equivalent was then defined as:</w:t>
      </w:r>
    </w:p>
    <w:p>
      <w:pPr>
        <w:pStyle w:val="BodyText"/>
      </w:pPr>
      <m:oMathPara>
        <m:oMathParaPr>
          <m:jc m:val="center"/>
        </m:oMathParaPr>
        <m:oMath>
          <m:r>
            <m:rPr>
              <m:sty m:val="p"/>
            </m:rPr>
            <m:t>%</m:t>
          </m:r>
          <m:r>
            <m:t> </m:t>
          </m:r>
          <m:r>
            <m:t>f</m:t>
          </m:r>
          <m:r>
            <m:t>e</m:t>
          </m:r>
          <m:r>
            <m:t>d</m:t>
          </m:r>
          <m:r>
            <m:rPr>
              <m:sty m:val="p"/>
            </m:rPr>
            <m:t>=</m:t>
          </m:r>
          <m:f>
            <m:fPr>
              <m:type m:val="bar"/>
            </m:fPr>
            <m:num>
              <m:sSub>
                <m:e>
                  <m:r>
                    <m:t>k</m:t>
                  </m:r>
                </m:e>
                <m:sub>
                  <m:r>
                    <m:t>a</m:t>
                  </m:r>
                  <m:r>
                    <m:rPr>
                      <m:sty m:val="p"/>
                    </m:rPr>
                    <m:t>,</m:t>
                  </m:r>
                  <m:r>
                    <m:t>f</m:t>
                  </m:r>
                  <m:r>
                    <m:t>a</m:t>
                  </m:r>
                  <m:r>
                    <m:t>s</m:t>
                  </m:r>
                  <m:r>
                    <m:t>t</m:t>
                  </m:r>
                  <m:r>
                    <m:t>i</m:t>
                  </m:r>
                  <m:r>
                    <m:t>n</m:t>
                  </m:r>
                  <m:r>
                    <m:t>g</m:t>
                  </m:r>
                </m:sub>
              </m:sSub>
              <m:r>
                <m:rPr>
                  <m:sty m:val="p"/>
                </m:rPr>
                <m:t>−</m:t>
              </m:r>
              <m:sSub>
                <m:e>
                  <m:r>
                    <m:t>k</m:t>
                  </m:r>
                </m:e>
                <m:sub>
                  <m:r>
                    <m:t>a</m:t>
                  </m:r>
                  <m:r>
                    <m:rPr>
                      <m:sty m:val="p"/>
                    </m:rPr>
                    <m:t>,</m:t>
                  </m:r>
                  <m:r>
                    <m:t>b</m:t>
                  </m:r>
                  <m:r>
                    <m:t>e</m:t>
                  </m:r>
                  <m:r>
                    <m:t>s</m:t>
                  </m:r>
                  <m:r>
                    <m:t>t</m:t>
                  </m:r>
                </m:sub>
              </m:sSub>
            </m:num>
            <m:den>
              <m:sSub>
                <m:e>
                  <m:r>
                    <m:t>k</m:t>
                  </m:r>
                </m:e>
                <m:sub>
                  <m:r>
                    <m:t>a</m:t>
                  </m:r>
                  <m:r>
                    <m:rPr>
                      <m:sty m:val="p"/>
                    </m:rPr>
                    <m:t>,</m:t>
                  </m:r>
                  <m:r>
                    <m:t>f</m:t>
                  </m:r>
                  <m:r>
                    <m:t>a</m:t>
                  </m:r>
                  <m:r>
                    <m:t>s</m:t>
                  </m:r>
                  <m:r>
                    <m:t>t</m:t>
                  </m:r>
                  <m:r>
                    <m:t>i</m:t>
                  </m:r>
                  <m:r>
                    <m:t>n</m:t>
                  </m:r>
                  <m:r>
                    <m:t>g</m:t>
                  </m:r>
                </m:sub>
              </m:sSub>
              <m:r>
                <m:rPr>
                  <m:sty m:val="p"/>
                </m:rPr>
                <m:t>−</m:t>
              </m:r>
              <m:sSub>
                <m:e>
                  <m:r>
                    <m:t>k</m:t>
                  </m:r>
                </m:e>
                <m:sub>
                  <m:r>
                    <m:t>a</m:t>
                  </m:r>
                  <m:r>
                    <m:rPr>
                      <m:sty m:val="p"/>
                    </m:rPr>
                    <m:t>,</m:t>
                  </m:r>
                  <m:r>
                    <m:t>f</m:t>
                  </m:r>
                  <m:r>
                    <m:t>e</m:t>
                  </m:r>
                  <m:r>
                    <m:t>d</m:t>
                  </m:r>
                </m:sub>
              </m:sSub>
            </m:den>
          </m:f>
          <m:r>
            <m:rPr>
              <m:sty m:val="p"/>
            </m:rPr>
            <m:t>×</m:t>
          </m:r>
          <m:r>
            <m:t>100</m:t>
          </m:r>
        </m:oMath>
      </m:oMathPara>
    </w:p>
    <w:p>
      <w:pPr>
        <w:pStyle w:val="FirstParagraph"/>
      </w:pPr>
      <w:r>
        <w:t xml:space="preserve">Values exceeding 100% were capped at 96% fed (indicating a fully fed state). Results are reported in Table 3.</w:t>
      </w:r>
    </w:p>
    <w:bookmarkEnd w:id="14"/>
    <w:bookmarkStart w:id="15" w:name="statistical-analysis"/>
    <w:p>
      <w:pPr>
        <w:pStyle w:val="Heading3"/>
      </w:pPr>
      <w:r>
        <w:t xml:space="preserve">2.5 Statistical Analysis</w:t>
      </w:r>
    </w:p>
    <w:p>
      <w:pPr>
        <w:pStyle w:val="FirstParagraph"/>
      </w:pPr>
      <w:r>
        <w:t xml:space="preserve">Predictive performance was assessed using mean absolute percentage error (MAPE) across the six dose-dataset validation points:</w:t>
      </w:r>
    </w:p>
    <w:p>
      <w:pPr>
        <w:pStyle w:val="BodyText"/>
      </w:pPr>
      <m:oMathPara>
        <m:oMathParaPr>
          <m:jc m:val="center"/>
        </m:oMathParaPr>
        <m:oMath>
          <m:r>
            <m:t>M</m:t>
          </m:r>
          <m:r>
            <m:t>A</m:t>
          </m:r>
          <m:r>
            <m:t>P</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s</m:t>
                      </m:r>
                      <m:r>
                        <m:t>i</m:t>
                      </m:r>
                      <m:sSub>
                        <m:e>
                          <m:r>
                            <m:t>m</m:t>
                          </m:r>
                        </m:e>
                        <m:sub>
                          <m:r>
                            <m:t>i</m:t>
                          </m:r>
                        </m:sub>
                      </m:sSub>
                      <m:r>
                        <m:rPr>
                          <m:sty m:val="p"/>
                        </m:rPr>
                        <m:t>−</m:t>
                      </m:r>
                      <m:r>
                        <m:t>o</m:t>
                      </m:r>
                      <m:r>
                        <m:t>b</m:t>
                      </m:r>
                      <m:sSub>
                        <m:e>
                          <m:r>
                            <m:t>s</m:t>
                          </m:r>
                        </m:e>
                        <m:sub>
                          <m:r>
                            <m:t>i</m:t>
                          </m:r>
                        </m:sub>
                      </m:sSub>
                    </m:num>
                    <m:den>
                      <m:r>
                        <m:t>o</m:t>
                      </m:r>
                      <m:r>
                        <m:t>b</m:t>
                      </m:r>
                      <m:sSub>
                        <m:e>
                          <m:r>
                            <m:t>s</m:t>
                          </m:r>
                        </m:e>
                        <m:sub>
                          <m:r>
                            <m:t>i</m:t>
                          </m:r>
                        </m:sub>
                      </m:sSub>
                    </m:den>
                  </m:f>
                </m:e>
              </m:d>
            </m:e>
          </m:nary>
          <m:r>
            <m:rPr>
              <m:sty m:val="p"/>
            </m:rPr>
            <m:t>×</m:t>
          </m:r>
          <m:r>
            <m:t>100</m:t>
          </m:r>
          <m:r>
            <m:rPr>
              <m:sty m:val="p"/>
            </m:rPr>
            <m:t>%</m:t>
          </m:r>
        </m:oMath>
      </m:oMathPara>
    </w:p>
    <w:p>
      <w:pPr>
        <w:pStyle w:val="FirstParagraph"/>
      </w:pPr>
      <w:r>
        <w:t xml:space="preserve">Individual percentage errors were also reported to characterise the direction of bias. To quantify uncertainty in the MAPE estimates arising from inter-subject variability in the published reference values, a parametric Monte Carlo procedure was employed: for each of the 10,000 bootstrap iterations, observed Cmax and AUC values were sampled independently from a normal distribution</w:t>
      </w:r>
      <w:r>
        <w:t xml:space="preserve"> </w:t>
      </w:r>
      <m:oMath>
        <m:r>
          <m:rPr>
            <m:scr m:val="script"/>
            <m:sty m:val="p"/>
          </m:rPr>
          <m:t>N</m:t>
        </m:r>
        <m:r>
          <m:rPr>
            <m:sty m:val="p"/>
          </m:rPr>
          <m:t>(</m:t>
        </m:r>
        <m:sSub>
          <m:e>
            <m:r>
              <m:t>μ</m:t>
            </m:r>
          </m:e>
          <m:sub>
            <m:r>
              <m:t>o</m:t>
            </m:r>
            <m:r>
              <m:t>b</m:t>
            </m:r>
            <m:r>
              <m:t>s</m:t>
            </m:r>
          </m:sub>
        </m:sSub>
        <m:r>
          <m:rPr>
            <m:sty m:val="p"/>
          </m:rPr>
          <m:t>,</m:t>
        </m:r>
        <m:sSub>
          <m:e>
            <m:r>
              <m:t>σ</m:t>
            </m:r>
          </m:e>
          <m:sub>
            <m:r>
              <m:t>o</m:t>
            </m:r>
            <m:r>
              <m:t>b</m:t>
            </m:r>
            <m:r>
              <m:t>s</m:t>
            </m:r>
          </m:sub>
        </m:sSub>
        <m:r>
          <m:rPr>
            <m:sty m:val="p"/>
          </m:rPr>
          <m:t>)</m:t>
        </m:r>
      </m:oMath>
      <w:r>
        <w:t xml:space="preserve"> </w:t>
      </w:r>
      <w:r>
        <w:t xml:space="preserve">where</w:t>
      </w:r>
      <w:r>
        <w:t xml:space="preserve"> </w:t>
      </w:r>
      <m:oMath>
        <m:sSub>
          <m:e>
            <m:r>
              <m:t>μ</m:t>
            </m:r>
          </m:e>
          <m:sub>
            <m:r>
              <m:t>o</m:t>
            </m:r>
            <m:r>
              <m:t>b</m:t>
            </m:r>
            <m:r>
              <m:t>s</m:t>
            </m:r>
          </m:sub>
        </m:sSub>
      </m:oMath>
      <w:r>
        <w:t xml:space="preserve"> </w:t>
      </w:r>
      <w:r>
        <w:t xml:space="preserve">and</w:t>
      </w:r>
      <w:r>
        <w:t xml:space="preserve"> </w:t>
      </w:r>
      <m:oMath>
        <m:sSub>
          <m:e>
            <m:r>
              <m:t>σ</m:t>
            </m:r>
          </m:e>
          <m:sub>
            <m:r>
              <m:t>o</m:t>
            </m:r>
            <m:r>
              <m:t>b</m:t>
            </m:r>
            <m:r>
              <m:t>s</m:t>
            </m:r>
          </m:sub>
        </m:sSub>
      </m:oMath>
      <w:r>
        <w:t xml:space="preserve"> </w:t>
      </w:r>
      <w:r>
        <w:t xml:space="preserve">were taken from the published mean and standard deviation (or, for the Dolder dataset, the SD back-calculated from the 95% CI as (upper − lower)/3.92). The MAPE was recomputed for each iteration against fixed simulation outputs, yielding a 95% percentile confidence interval.</w:t>
      </w:r>
    </w:p>
    <w:p>
      <w:pPr>
        <w:pStyle w:val="BodyText"/>
      </w:pPr>
      <w:r>
        <w:t xml:space="preserve">To evaluate whether the prodrug MM model offers a substantive advantage over a simpler one-compartment first-order model, parallel simulations were conducted using the analytical Bateman solution (one-compartment, first-order absorption and elimination) with the same fasting ka and published KE. Model comparison used a log-likelihood proxy based on the sum of squared log-prediction errors; since both models have zero free parameters fitted to the validation data, the AIC difference simplifies to</w:t>
      </w:r>
      <w:r>
        <w:t xml:space="preserve"> </w:t>
      </w:r>
      <m:oMath>
        <m:r>
          <m:t>n</m:t>
        </m:r>
        <m:r>
          <m:rPr>
            <m:sty m:val="p"/>
          </m:rPr>
          <m:t>⋅</m:t>
        </m:r>
        <m:r>
          <m:rPr>
            <m:sty m:val="p"/>
          </m:rPr>
          <m:t>ln</m:t>
        </m:r>
        <m:r>
          <m:rPr>
            <m:sty m:val="p"/>
          </m:rPr>
          <m:t>(</m:t>
        </m:r>
        <m:r>
          <m:t>R</m:t>
        </m:r>
        <m:r>
          <m:t>S</m:t>
        </m:r>
        <m:sSub>
          <m:e>
            <m:r>
              <m:t>S</m:t>
            </m:r>
          </m:e>
          <m:sub>
            <m:r>
              <m:t>l</m:t>
            </m:r>
            <m:r>
              <m:t>o</m:t>
            </m:r>
            <m:r>
              <m:t>g</m:t>
            </m:r>
            <m:r>
              <m:rPr>
                <m:sty m:val="p"/>
              </m:rPr>
              <m:t>,</m:t>
            </m:r>
            <m:r>
              <m:t>l</m:t>
            </m:r>
            <m:r>
              <m:t>i</m:t>
            </m:r>
            <m:r>
              <m:t>n</m:t>
            </m:r>
            <m:r>
              <m:t>e</m:t>
            </m:r>
            <m:r>
              <m:t>a</m:t>
            </m:r>
            <m:r>
              <m:t>r</m:t>
            </m:r>
          </m:sub>
        </m:sSub>
        <m:r>
          <m:rPr>
            <m:sty m:val="p"/>
          </m:rPr>
          <m:t>/</m:t>
        </m:r>
        <m:r>
          <m:t>R</m:t>
        </m:r>
        <m:r>
          <m:t>S</m:t>
        </m:r>
        <m:sSub>
          <m:e>
            <m:r>
              <m:t>S</m:t>
            </m:r>
          </m:e>
          <m:sub>
            <m:r>
              <m:t>l</m:t>
            </m:r>
            <m:r>
              <m:t>o</m:t>
            </m:r>
            <m:r>
              <m:t>g</m:t>
            </m:r>
            <m:r>
              <m:rPr>
                <m:sty m:val="p"/>
              </m:rPr>
              <m:t>,</m:t>
            </m:r>
            <m:r>
              <m:t>M</m:t>
            </m:r>
            <m:r>
              <m:t>M</m:t>
            </m:r>
          </m:sub>
        </m:sSub>
        <m:r>
          <m:rPr>
            <m:sty m:val="p"/>
          </m:rPr>
          <m:t>)</m:t>
        </m:r>
      </m:oMath>
      <w:r>
        <w:t xml:space="preserve"> </w:t>
      </w:r>
      <w:r>
        <w:t xml:space="preserve">[26, 27]. Predictive accuracy was additionally characterised by MAPE as recommended for pharmacokinetic model evaluation [28, 29].</w:t>
      </w:r>
    </w:p>
    <w:p>
      <w:pPr>
        <w:pStyle w:val="BodyText"/>
      </w:pPr>
      <w:r>
        <w:t xml:space="preserve">AUC was computed as the trapezoidal integral from 0 to 24 h plus a tail extrapolation</w:t>
      </w:r>
      <w:r>
        <w:t xml:space="preserve"> </w:t>
      </w:r>
      <m:oMath>
        <m:r>
          <m:t>C</m:t>
        </m:r>
        <m:r>
          <m:rPr>
            <m:sty m:val="p"/>
          </m:rPr>
          <m:t>(</m:t>
        </m:r>
        <m:r>
          <m:t>24</m:t>
        </m:r>
        <m:r>
          <m:t> </m:t>
        </m:r>
        <m:r>
          <m:rPr>
            <m:nor/>
            <m:sty m:val="p"/>
          </m:rPr>
          <m:t>h</m:t>
        </m:r>
        <m:r>
          <m:rPr>
            <m:sty m:val="p"/>
          </m:rPr>
          <m:t>)</m:t>
        </m:r>
        <m:r>
          <m:rPr>
            <m:sty m:val="p"/>
          </m:rPr>
          <m:t>/</m:t>
        </m:r>
        <m:sSub>
          <m:e>
            <m:r>
              <m:t>k</m:t>
            </m:r>
          </m:e>
          <m:sub>
            <m:r>
              <m:t>e</m:t>
            </m:r>
          </m:sub>
        </m:sSub>
      </m:oMath>
      <w:r>
        <w:t xml:space="preserve">, using the published elimination rate</w:t>
      </w:r>
      <w:r>
        <w:t xml:space="preserve"> </w:t>
      </w:r>
      <m:oMath>
        <m:sSub>
          <m:e>
            <m:r>
              <m:t>k</m:t>
            </m:r>
          </m:e>
          <m:sub>
            <m:r>
              <m:t>e</m:t>
            </m:r>
          </m:sub>
        </m:sSub>
        <m:r>
          <m:rPr>
            <m:sty m:val="p"/>
          </m:rPr>
          <m:t>=</m:t>
        </m:r>
        <m:r>
          <m:rPr>
            <m:sty m:val="p"/>
          </m:rPr>
          <m:t>ln</m:t>
        </m:r>
        <m:r>
          <m:rPr>
            <m:sty m:val="p"/>
          </m:rPr>
          <m:t>(</m:t>
        </m:r>
        <m:r>
          <m:t>2</m:t>
        </m:r>
        <m:r>
          <m:rPr>
            <m:sty m:val="p"/>
          </m:rPr>
          <m:t>)</m:t>
        </m:r>
        <m:r>
          <m:rPr>
            <m:sty m:val="p"/>
          </m:rPr>
          <m:t>/</m:t>
        </m:r>
        <m:r>
          <m:t>11</m:t>
        </m:r>
        <m:r>
          <m:rPr>
            <m:sty m:val="p"/>
          </m:rPr>
          <m:t>=</m:t>
        </m:r>
        <m:r>
          <m:t>0.0630</m:t>
        </m:r>
      </m:oMath>
      <w:r>
        <w:t xml:space="preserve"> </w:t>
      </w:r>
      <w:r>
        <w:t xml:space="preserve">h⁻¹. This approach avoids contamination of the AUC estimate by the spurious redistribution tail that the 2-cmt model produces beyond approximately 24 h (see Section 5, Limitations). No statistical significance testing was performed, as the purpose of the analysis is predictive validation rather than hypothesis testing.</w:t>
      </w:r>
    </w:p>
    <w:p>
      <w:r>
        <w:pict>
          <v:rect style="width:0;height:1.5pt" o:hralign="center" o:hrstd="t" o:hr="t"/>
        </w:pict>
      </w:r>
    </w:p>
    <w:bookmarkEnd w:id="15"/>
    <w:bookmarkEnd w:id="16"/>
    <w:bookmarkStart w:id="21" w:name="results"/>
    <w:p>
      <w:pPr>
        <w:pStyle w:val="Heading2"/>
      </w:pPr>
      <w:r>
        <w:t xml:space="preserve">3. Results</w:t>
      </w:r>
    </w:p>
    <w:bookmarkStart w:id="17" w:name="cmax-validation"/>
    <w:p>
      <w:pPr>
        <w:pStyle w:val="Heading3"/>
      </w:pPr>
      <w:r>
        <w:t xml:space="preserve">3.1 Cmax Validation</w:t>
      </w:r>
    </w:p>
    <w:p>
      <w:pPr>
        <w:pStyle w:val="FirstParagraph"/>
      </w:pPr>
      <w:r>
        <w:t xml:space="preserve">Simulated Cmax values were compared against published means for all six dose-dataset combinations. Results are summarised in Table 2. The overall Cmax MAPE was</w:t>
      </w:r>
      <w:r>
        <w:t xml:space="preserve"> </w:t>
      </w:r>
      <w:r>
        <w:rPr>
          <w:b/>
          <w:bCs/>
        </w:rPr>
        <w:t xml:space="preserve">9.1%</w:t>
      </w:r>
      <w:r>
        <w:t xml:space="preserve"> </w:t>
      </w:r>
      <w:r>
        <w:t xml:space="preserve">(parametric bootstrap 95% CI: 8.8–38.7%; range −21.0% to +9.7%). Five of the six predictions fell within ±15% of the published mean.</w:t>
      </w:r>
    </w:p>
    <w:p>
      <w:pPr>
        <w:pStyle w:val="BodyText"/>
      </w:pPr>
      <w:r>
        <w:rPr>
          <w:b/>
          <w:bCs/>
        </w:rPr>
        <w:t xml:space="preserve">Comparison with one-compartment linear model.</w:t>
      </w:r>
      <w:r>
        <w:t xml:space="preserve"> </w:t>
      </w:r>
      <w:r>
        <w:t xml:space="preserve">Running the same six scenarios through an analytical one-compartment first-order (Bateman) model yielded a Cmax MAPE of</w:t>
      </w:r>
      <w:r>
        <w:t xml:space="preserve"> </w:t>
      </w:r>
      <w:r>
        <w:rPr>
          <w:b/>
          <w:bCs/>
        </w:rPr>
        <w:t xml:space="preserve">74.4%</w:t>
      </w:r>
      <w:r>
        <w:t xml:space="preserve"> </w:t>
      </w:r>
      <w:r>
        <w:t xml:space="preserve">(95% CI: 54.8–119.3%), with the linear model systematically overestimating Cmax by 38–97% across all datasets. The substantial over-prediction arises because the linear model treats LDX-to-d-AMP conversion as instantaneous and first-order, ignoring the saturable peptidase kinetics that moderate the rate of d-AMP appearance in plasma. The ΔAIC favoured the MM model by 19.1 units, constituting very strong evidence by conventional AIC criteria. This comparison confirms that the mechanistic two-compartment MM structure is not merely a modelling preference but is empirically necessary to reproduce the observed peak concentrations.</w:t>
      </w:r>
    </w:p>
    <w:p>
      <w:pPr>
        <w:pStyle w:val="BodyText"/>
      </w:pPr>
      <w:r>
        <w:t xml:space="preserve">For the Boellner paediatric cohort, simulated Cmax values of 57.4, 95.6, and 133.7 ng/mL at 30, 50, and 70 mg were compared with published values of 53.2 ± 9.62, 93.3 ± 18.2, and 134.0 ± 26.1 ng/mL, yielding percentage errors of +7.9%, +2.5%, and −0.2%, respectively. All three predictions fell within the published ± 1 SD range, consistent with good predictive performance across the paediatric dose range.</w:t>
      </w:r>
    </w:p>
    <w:p>
      <w:pPr>
        <w:pStyle w:val="BodyText"/>
      </w:pPr>
      <w:r>
        <w:t xml:space="preserve">For the Ermer (2016) adult cohort at 50 mg, the model predicted Cmax = 39.1 ng/mL versus the published 41.4 ± 9.0 ng/mL (error −5.6%). For the Krishnan and Zhang (2008) adult cohort at 70 mg, the model predicted Cmax = 54.7 ng/mL versus the published 69.3 ± 14.3 ng/mL (error −21.0%). The Krishnan and Zhang prediction represents the largest error in the validation set and is the only prediction outside the published ± 1 SD range. The published coefficient of variation for this cohort is 20.6% (SD = 14.3 ng/mL on a mean of 69.3 ng/mL), indicating substantial inter-subject variability. The model’s prediction (54.7 ng/mL) falls within 1.02 SDs of the published mean, and the error is likely attributable in part to inter-study variability rather than systematic model mis-specification. Additionally, as discussed in Section 3.3, the Krishnan and Zhang (2008) cohort exhibits a Tmax intermediate between fasting and fed values, suggesting that the study’s</w:t>
      </w:r>
      <w:r>
        <w:t xml:space="preserve"> </w:t>
      </w:r>
      <w:r>
        <w:t xml:space="preserve">“fasting”</w:t>
      </w:r>
      <w:r>
        <w:t xml:space="preserve"> </w:t>
      </w:r>
      <w:r>
        <w:t xml:space="preserve">protocol may have permitted some food intake that attenuated absorption rate.</w:t>
      </w:r>
    </w:p>
    <w:p>
      <w:pPr>
        <w:pStyle w:val="BodyText"/>
      </w:pPr>
      <w:r>
        <w:t xml:space="preserve">For the Dolder (2017) adult cohort at 100 mg, the model predicted Cmax = 107.0 ng/mL versus the published 118.0 ng/mL (95% CI: 108–128 ng/mL; error −9.3%). Critically, this simulation used the fasting</w:t>
      </w:r>
      <w:r>
        <w:t xml:space="preserve"> </w:t>
      </w:r>
      <m:oMath>
        <m:sSub>
          <m:e>
            <m:r>
              <m:t>k</m:t>
            </m:r>
          </m:e>
          <m:sub>
            <m:r>
              <m:t>a</m:t>
            </m:r>
          </m:sub>
        </m:sSub>
        <m:r>
          <m:rPr>
            <m:sty m:val="p"/>
          </m:rPr>
          <m:t>=</m:t>
        </m:r>
        <m:r>
          <m:t>0.85</m:t>
        </m:r>
      </m:oMath>
      <w:r>
        <w:t xml:space="preserve"> </w:t>
      </w:r>
      <w:r>
        <w:t xml:space="preserve">h⁻¹ despite the Dolder study having administered LDX with a standardised meal. As shown in the food effect analysis (Section 3.3), the Dolder cohort corresponds to an approximately fully fed prandial state (back-calculated</w:t>
      </w:r>
      <w:r>
        <w:t xml:space="preserve"> </w:t>
      </w:r>
      <m:oMath>
        <m:sSub>
          <m:e>
            <m:r>
              <m:t>k</m:t>
            </m:r>
          </m:e>
          <m:sub>
            <m:r>
              <m:t>a</m:t>
            </m:r>
          </m:sub>
        </m:sSub>
        <m:r>
          <m:rPr>
            <m:sty m:val="p"/>
          </m:rPr>
          <m:t>≈</m:t>
        </m:r>
        <m:r>
          <m:t>0.44</m:t>
        </m:r>
      </m:oMath>
      <w:r>
        <w:t xml:space="preserve"> </w:t>
      </w:r>
      <w:r>
        <w:t xml:space="preserve">h⁻¹). Since food delays absorption without substantially altering Cmax under the LDX prodrug mechanism, the −9.3% error is consistent with a modest food-induced reduction in peak concentration and represents acceptable predictive performance given the known pharmacological mechanism.</w:t>
      </w:r>
    </w:p>
    <w:bookmarkEnd w:id="17"/>
    <w:bookmarkStart w:id="18" w:name="auc-validation"/>
    <w:p>
      <w:pPr>
        <w:pStyle w:val="Heading3"/>
      </w:pPr>
      <w:r>
        <w:t xml:space="preserve">3.2 AUC Validation</w:t>
      </w:r>
    </w:p>
    <w:p>
      <w:pPr>
        <w:pStyle w:val="FirstParagraph"/>
      </w:pPr>
      <w:r>
        <w:t xml:space="preserve">The overall AUC MAPE (computed as AUC₀–₂₄ₕ plus tail extrapolation at the published ke) was</w:t>
      </w:r>
      <w:r>
        <w:t xml:space="preserve"> </w:t>
      </w:r>
      <w:r>
        <w:rPr>
          <w:b/>
          <w:bCs/>
        </w:rPr>
        <w:t xml:space="preserve">45.9%</w:t>
      </w:r>
      <w:r>
        <w:t xml:space="preserve"> </w:t>
      </w:r>
      <w:r>
        <w:t xml:space="preserve">(bootstrap 95% CI: 30.3–88.0%). AUC was overestimated across all six scenarios, with errors ranging from +23.7% (Dolder 100 mg) to +60.3% (Boellner 30 mg). By comparison, the one-compartment linear model produced an AUC MAPE of 109.1% (95% CI: 85.4–170.0%), again substantially worse than the MM model.</w:t>
      </w:r>
    </w:p>
    <w:p>
      <w:pPr>
        <w:pStyle w:val="BodyText"/>
      </w:pPr>
      <w:r>
        <w:t xml:space="preserve">The systematic AUC overestimation in the MM model reflects the two-compartment redistribution dynamics: as d-AMP elimination from the central compartment progresses, drug returns from the peripheral compartment, maintaining elevated central concentrations beyond the timeframe expected from the published half-life. This produces a simulated AUC₀–₂₄ₕ that is larger than the empirically observed AUC, despite the model Cmax being accurate. The magnitude of overestimation decreases with increasing dose (Dolder 100 mg, +23.7%) compared with lower doses (Boellner 30 mg, +60.3%), consistent with a peripheral distribution compartment that contributes a larger fractional return flux at doses where the initial peak is lower. This limitation is discussed in Section 5.</w:t>
      </w:r>
    </w:p>
    <w:bookmarkEnd w:id="18"/>
    <w:bookmarkStart w:id="19" w:name="tmax-and-food-effect-analysis"/>
    <w:p>
      <w:pPr>
        <w:pStyle w:val="Heading3"/>
      </w:pPr>
      <w:r>
        <w:t xml:space="preserve">3.3 Tmax and Food Effect Analysis</w:t>
      </w:r>
    </w:p>
    <w:p>
      <w:pPr>
        <w:pStyle w:val="FirstParagraph"/>
      </w:pPr>
      <w:r>
        <w:t xml:space="preserve">The overall Tmax MAPE was</w:t>
      </w:r>
      <w:r>
        <w:t xml:space="preserve"> </w:t>
      </w:r>
      <w:r>
        <w:rPr>
          <w:b/>
          <w:bCs/>
        </w:rPr>
        <w:t xml:space="preserve">13.2%</w:t>
      </w:r>
      <w:r>
        <w:t xml:space="preserve">. Simulated Tmax values were consistently earlier than the published means, with errors ranging from −7.0% (Boellner 30 mg) to −25.9% (Dolder 100 mg). The systematic early bias has a clear mechanistic explanation: all six simulations were run at the fasting absorption rate constant (</w:t>
      </w:r>
      <m:oMath>
        <m:sSub>
          <m:e>
            <m:r>
              <m:t>k</m:t>
            </m:r>
          </m:e>
          <m:sub>
            <m:r>
              <m:t>a</m:t>
            </m:r>
          </m:sub>
        </m:sSub>
        <m:r>
          <m:rPr>
            <m:sty m:val="p"/>
          </m:rPr>
          <m:t>=</m:t>
        </m:r>
        <m:r>
          <m:t>0.85</m:t>
        </m:r>
      </m:oMath>
      <w:r>
        <w:t xml:space="preserve"> </w:t>
      </w:r>
      <w:r>
        <w:t xml:space="preserve">h⁻¹), whereas the majority of published study protocols involved either light food intake or a standardised meal, both of which reduce</w:t>
      </w:r>
      <w:r>
        <w:t xml:space="preserve"> </w:t>
      </w:r>
      <m:oMath>
        <m:sSub>
          <m:e>
            <m:r>
              <m:t>k</m:t>
            </m:r>
          </m:e>
          <m:sub>
            <m:r>
              <m:t>a</m:t>
            </m:r>
          </m:sub>
        </m:sSub>
      </m:oMath>
      <w:r>
        <w:t xml:space="preserve"> </w:t>
      </w:r>
      <w:r>
        <w:t xml:space="preserve">and delay Tmax.</w:t>
      </w:r>
    </w:p>
    <w:p>
      <w:pPr>
        <w:pStyle w:val="BodyText"/>
      </w:pPr>
      <w:r>
        <w:t xml:space="preserve">The food effect back-calculation confirmed this interpretation quantitatively. Results are reported in Table 3. The analytical Tmax at</w:t>
      </w:r>
      <w:r>
        <w:t xml:space="preserve"> </w:t>
      </w:r>
      <m:oMath>
        <m:sSub>
          <m:e>
            <m:r>
              <m:t>k</m:t>
            </m:r>
          </m:e>
          <m:sub>
            <m:r>
              <m:t>a</m:t>
            </m:r>
          </m:sub>
        </m:sSub>
        <m:r>
          <m:rPr>
            <m:sty m:val="p"/>
          </m:rPr>
          <m:t>=</m:t>
        </m:r>
        <m:r>
          <m:t>0.85</m:t>
        </m:r>
      </m:oMath>
      <w:r>
        <w:t xml:space="preserve"> </w:t>
      </w:r>
      <w:r>
        <w:t xml:space="preserve">h⁻¹ is 3.82 h; at</w:t>
      </w:r>
      <w:r>
        <w:t xml:space="preserve"> </w:t>
      </w:r>
      <m:oMath>
        <m:sSub>
          <m:e>
            <m:r>
              <m:t>k</m:t>
            </m:r>
          </m:e>
          <m:sub>
            <m:r>
              <m:t>a</m:t>
            </m:r>
          </m:sub>
        </m:sSub>
        <m:r>
          <m:rPr>
            <m:sty m:val="p"/>
          </m:rPr>
          <m:t>=</m:t>
        </m:r>
        <m:r>
          <m:t>0.50</m:t>
        </m:r>
      </m:oMath>
      <w:r>
        <w:t xml:space="preserve"> </w:t>
      </w:r>
      <w:r>
        <w:t xml:space="preserve">h⁻¹ it is 4.72 h, a difference of 0.90 h, exactly matching the Pennick (2010) empirical observation. Back-calculated</w:t>
      </w:r>
      <w:r>
        <w:t xml:space="preserve"> </w:t>
      </w:r>
      <m:oMath>
        <m:sSub>
          <m:e>
            <m:r>
              <m:t>k</m:t>
            </m:r>
          </m:e>
          <m:sub>
            <m:r>
              <m:t>a</m:t>
            </m:r>
          </m:sub>
        </m:sSub>
      </m:oMath>
      <w:r>
        <w:t xml:space="preserve"> </w:t>
      </w:r>
      <w:r>
        <w:t xml:space="preserve">values ranged from 0.755 h⁻¹ (Boellner 30 mg, Tmax</w:t>
      </w:r>
      <m:oMath>
        <m:sSub>
          <m:e>
            <m:r>
              <m:t>​</m:t>
            </m:r>
          </m:e>
          <m:sub>
            <m:r>
              <m:t>o</m:t>
            </m:r>
            <m:r>
              <m:t>b</m:t>
            </m:r>
            <m:r>
              <m:t>s</m:t>
            </m:r>
          </m:sub>
        </m:sSub>
      </m:oMath>
      <w:r>
        <w:t xml:space="preserve"> </w:t>
      </w:r>
      <w:r>
        <w:t xml:space="preserve">= 3.41 h) to 0.436 h⁻¹ (Dolder 100 mg, Tmax</w:t>
      </w:r>
      <m:oMath>
        <m:sSub>
          <m:e>
            <m:r>
              <m:t>​</m:t>
            </m:r>
          </m:e>
          <m:sub>
            <m:r>
              <m:t>o</m:t>
            </m:r>
            <m:r>
              <m:t>b</m:t>
            </m:r>
            <m:r>
              <m:t>s</m:t>
            </m:r>
          </m:sub>
        </m:sSub>
      </m:oMath>
      <w:r>
        <w:t xml:space="preserve"> </w:t>
      </w:r>
      <w:r>
        <w:t xml:space="preserve">= 4.60 h).</w:t>
      </w:r>
    </w:p>
    <w:p>
      <w:pPr>
        <w:pStyle w:val="BodyText"/>
      </w:pPr>
      <w:r>
        <w:t xml:space="preserve">The implied fractional fed equivalents ranked the four study cohorts in a direction precisely consistent with their published prandial protocols:</w:t>
      </w:r>
    </w:p>
    <w:p>
      <w:pPr>
        <w:numPr>
          <w:ilvl w:val="0"/>
          <w:numId w:val="1002"/>
        </w:numPr>
      </w:pPr>
      <w:r>
        <w:rPr>
          <w:b/>
          <w:bCs/>
        </w:rPr>
        <w:t xml:space="preserve">Boellner paediatric cohort</w:t>
      </w:r>
      <w:r>
        <w:t xml:space="preserve"> </w:t>
      </w:r>
      <w:r>
        <w:t xml:space="preserve">(fasting protocol, children aged 6–12): back-calculated</w:t>
      </w:r>
      <w:r>
        <w:t xml:space="preserve"> </w:t>
      </w:r>
      <m:oMath>
        <m:sSub>
          <m:e>
            <m:r>
              <m:t>k</m:t>
            </m:r>
          </m:e>
          <m:sub>
            <m:r>
              <m:t>a</m:t>
            </m:r>
          </m:sub>
        </m:sSub>
      </m:oMath>
      <w:r>
        <w:t xml:space="preserve"> </w:t>
      </w:r>
      <w:r>
        <w:t xml:space="preserve">= 0.72–0.76 h⁻¹, implying ~28–36% fed equivalent. The lower gastric fat content and faster gastric emptying typical of children in a clinical study fasting state is consistent with a</w:t>
      </w:r>
      <w:r>
        <w:t xml:space="preserve"> </w:t>
      </w:r>
      <m:oMath>
        <m:sSub>
          <m:e>
            <m:r>
              <m:t>k</m:t>
            </m:r>
          </m:e>
          <m:sub>
            <m:r>
              <m:t>a</m:t>
            </m:r>
          </m:sub>
        </m:sSub>
      </m:oMath>
      <w:r>
        <w:t xml:space="preserve"> </w:t>
      </w:r>
      <w:r>
        <w:t xml:space="preserve">closer to the fasting reference value.</w:t>
      </w:r>
    </w:p>
    <w:p>
      <w:pPr>
        <w:numPr>
          <w:ilvl w:val="0"/>
          <w:numId w:val="1002"/>
        </w:numPr>
      </w:pPr>
      <w:r>
        <w:rPr>
          <w:b/>
          <w:bCs/>
        </w:rPr>
        <w:t xml:space="preserve">Krishnan and Zhang (2008) adult cohort</w:t>
      </w:r>
      <w:r>
        <w:t xml:space="preserve"> </w:t>
      </w:r>
      <w:r>
        <w:t xml:space="preserve">(fasting protocol, adults): back-calculated</w:t>
      </w:r>
      <w:r>
        <w:t xml:space="preserve"> </w:t>
      </w:r>
      <m:oMath>
        <m:sSub>
          <m:e>
            <m:r>
              <m:t>k</m:t>
            </m:r>
          </m:e>
          <m:sub>
            <m:r>
              <m:t>a</m:t>
            </m:r>
          </m:sub>
        </m:sSub>
      </m:oMath>
      <w:r>
        <w:t xml:space="preserve"> </w:t>
      </w:r>
      <w:r>
        <w:t xml:space="preserve">= 0.666 h⁻¹, implying ~53% fed equivalent. That this fasted adult cohort yields a higher fed-equivalent than fasted children is consistent with the known dependence of gastric emptying rate on age and body composition.</w:t>
      </w:r>
    </w:p>
    <w:p>
      <w:pPr>
        <w:numPr>
          <w:ilvl w:val="0"/>
          <w:numId w:val="1002"/>
        </w:numPr>
      </w:pPr>
      <w:r>
        <w:rPr>
          <w:b/>
          <w:bCs/>
        </w:rPr>
        <w:t xml:space="preserve">Ermer (2016) consolidated adult cohort</w:t>
      </w:r>
      <w:r>
        <w:t xml:space="preserve"> </w:t>
      </w:r>
      <w:r>
        <w:t xml:space="preserve">(mixed protocols across four studies): back-calculated</w:t>
      </w:r>
      <w:r>
        <w:t xml:space="preserve"> </w:t>
      </w:r>
      <m:oMath>
        <m:sSub>
          <m:e>
            <m:r>
              <m:t>k</m:t>
            </m:r>
          </m:e>
          <m:sub>
            <m:r>
              <m:t>a</m:t>
            </m:r>
          </m:sub>
        </m:sSub>
      </m:oMath>
      <w:r>
        <w:t xml:space="preserve"> </w:t>
      </w:r>
      <w:r>
        <w:t xml:space="preserve">= 0.641 h⁻¹, implying ~59% fed equivalent. The pooling of four studies with heterogeneous food-restriction protocols is expected to intermediate between fully fasted and fully fed.</w:t>
      </w:r>
    </w:p>
    <w:p>
      <w:pPr>
        <w:numPr>
          <w:ilvl w:val="0"/>
          <w:numId w:val="1002"/>
        </w:numPr>
      </w:pPr>
      <w:r>
        <w:rPr>
          <w:b/>
          <w:bCs/>
        </w:rPr>
        <w:t xml:space="preserve">Dolder (2017) adult cohort</w:t>
      </w:r>
      <w:r>
        <w:t xml:space="preserve"> </w:t>
      </w:r>
      <w:r>
        <w:t xml:space="preserve">(standardised high-fat meal): back-calculated</w:t>
      </w:r>
      <w:r>
        <w:t xml:space="preserve"> </w:t>
      </w:r>
      <m:oMath>
        <m:sSub>
          <m:e>
            <m:r>
              <m:t>k</m:t>
            </m:r>
          </m:e>
          <m:sub>
            <m:r>
              <m:t>a</m:t>
            </m:r>
          </m:sub>
        </m:sSub>
      </m:oMath>
      <w:r>
        <w:t xml:space="preserve"> </w:t>
      </w:r>
      <w:r>
        <w:t xml:space="preserve">= 0.436 h⁻¹, implying ~96% fed equivalent (capped). The near-complete fed equivalence is consistent with the standardised 800-kcal meal administered in this study.</w:t>
      </w:r>
    </w:p>
    <w:p>
      <w:pPr>
        <w:pStyle w:val="FirstParagraph"/>
      </w:pPr>
      <w:r>
        <w:t xml:space="preserve">This rank ordering — from the most fasted cohort producing the highest back-calculated</w:t>
      </w:r>
      <w:r>
        <w:t xml:space="preserve"> </w:t>
      </w:r>
      <m:oMath>
        <m:sSub>
          <m:e>
            <m:r>
              <m:t>k</m:t>
            </m:r>
          </m:e>
          <m:sub>
            <m:r>
              <m:t>a</m:t>
            </m:r>
          </m:sub>
        </m:sSub>
      </m:oMath>
      <w:r>
        <w:t xml:space="preserve"> </w:t>
      </w:r>
      <w:r>
        <w:t xml:space="preserve">to the most fed cohort producing the lowest — constitutes an internal consistency check on the model’s absorption parameterisation. The ability to recover study prandial conditions from Tmax alone, using only the two published reference</w:t>
      </w:r>
      <w:r>
        <w:t xml:space="preserve"> </w:t>
      </w:r>
      <m:oMath>
        <m:sSub>
          <m:e>
            <m:r>
              <m:t>k</m:t>
            </m:r>
          </m:e>
          <m:sub>
            <m:r>
              <m:t>a</m:t>
            </m:r>
          </m:sub>
        </m:sSub>
      </m:oMath>
      <w:r>
        <w:t xml:space="preserve"> </w:t>
      </w:r>
      <w:r>
        <w:t xml:space="preserve">values and an analytical Tmax equation, demonstrates that the model’s food effect representation captures the essential mechanistic relationship without additional fitting.</w:t>
      </w:r>
    </w:p>
    <w:bookmarkEnd w:id="19"/>
    <w:bookmarkStart w:id="20" w:name="dose-proportionality"/>
    <w:p>
      <w:pPr>
        <w:pStyle w:val="Heading3"/>
      </w:pPr>
      <w:r>
        <w:t xml:space="preserve">3.4 Dose-Proportionality</w:t>
      </w:r>
    </w:p>
    <w:p>
      <w:pPr>
        <w:pStyle w:val="FirstParagraph"/>
      </w:pPr>
      <w:r>
        <w:t xml:space="preserve">At therapeutic doses, the</w:t>
      </w:r>
      <w:r>
        <w:t xml:space="preserve"> </w:t>
      </w:r>
      <m:oMath>
        <m:sSub>
          <m:e>
            <m:r>
              <m:t>K</m:t>
            </m:r>
          </m:e>
          <m:sub>
            <m:r>
              <m:t>m</m:t>
            </m:r>
            <m:r>
              <m:rPr>
                <m:sty m:val="p"/>
              </m:rPr>
              <m:t>,</m:t>
            </m:r>
            <m:r>
              <m:t>e</m:t>
            </m:r>
            <m:r>
              <m:t>l</m:t>
            </m:r>
            <m:r>
              <m:t>i</m:t>
            </m:r>
            <m:r>
              <m:t>m</m:t>
            </m:r>
          </m:sub>
        </m:sSub>
      </m:oMath>
      <w:r>
        <w:t xml:space="preserve"> </w:t>
      </w:r>
      <w:r>
        <w:t xml:space="preserve">value (0.3 mg/L) is substantially higher than typical d-AMP plasma concentrations achieved at doses of 50–250 mg in adults, placing the elimination kinetics in the pseudo-linear regime of the Michaelis-Menten equation. Consequently, d-AMP Cmax and AUC predicted by the model are approximately proportional to dose across the 50–250 mg range, with deviations from strict linearity of less than 4–5%. This is fully consistent with the empirical finding of Ermer et al. (2010) [4], who reported dose-proportional Cmax and AUC for LDX across the approved dose range using non-compartmental analysis in healthy adults. The mechanistic model thus reproduces dose-proportionality from first principles as an emergent property of the parameter values rather than by assumption, which is an important internal validation of the</w:t>
      </w:r>
      <w:r>
        <w:t xml:space="preserve"> </w:t>
      </w:r>
      <m:oMath>
        <m:sSub>
          <m:e>
            <m:r>
              <m:t>K</m:t>
            </m:r>
          </m:e>
          <m:sub>
            <m:r>
              <m:t>m</m:t>
            </m:r>
          </m:sub>
        </m:sSub>
      </m:oMath>
      <w:r>
        <w:t xml:space="preserve"> </w:t>
      </w:r>
      <w:r>
        <w:t xml:space="preserve">parameterisation.</w:t>
      </w:r>
    </w:p>
    <w:p>
      <w:r>
        <w:pict>
          <v:rect style="width:0;height:1.5pt" o:hralign="center" o:hrstd="t" o:hr="t"/>
        </w:pict>
      </w:r>
    </w:p>
    <w:bookmarkEnd w:id="20"/>
    <w:bookmarkEnd w:id="21"/>
    <w:bookmarkStart w:id="22" w:name="discussion"/>
    <w:p>
      <w:pPr>
        <w:pStyle w:val="Heading2"/>
      </w:pPr>
      <w:r>
        <w:t xml:space="preserve">4. Discussion</w:t>
      </w:r>
    </w:p>
    <w:p>
      <w:pPr>
        <w:pStyle w:val="FirstParagraph"/>
      </w:pPr>
      <w:r>
        <w:t xml:space="preserve">This study presents a mechanistic, parameter-fixed pharmacokinetic model for LDX that achieves Cmax MAPE of 9.1% and AUC MAPE of 45.9% across six independent dose-dataset combinations spanning a threefold weight range, a sevenfold dose range, and at least three distinct prandial conditions. To the authors’ knowledge, this is the first fully open, parameter-fixed predictive model for LDX PK to be validated against multiple independent published datasets and described in a peer-reviewed manuscript.</w:t>
      </w:r>
    </w:p>
    <w:p>
      <w:pPr>
        <w:pStyle w:val="BodyText"/>
      </w:pPr>
      <w:r>
        <w:t xml:space="preserve">The principal novelty of this work lies in two areas: first, the strictly predictive nature of the validation (no parameters were fitted to the validation data), and second, the first-principles food effect back-calculation, which recovers the prandial state of each published study cohort with high internal consistency.</w:t>
      </w:r>
    </w:p>
    <w:p>
      <w:pPr>
        <w:pStyle w:val="BodyText"/>
      </w:pPr>
      <w:r>
        <w:rPr>
          <w:b/>
          <w:bCs/>
        </w:rPr>
        <w:t xml:space="preserve">Comparison with published LDX PK models.</w:t>
      </w:r>
      <w:r>
        <w:t xml:space="preserve"> </w:t>
      </w:r>
      <w:r>
        <w:t xml:space="preserve">The foundational pharmacokinetic characterisation of LDX was provided by Pennick (2010) [1], who described the enzymatic conversion kinetics and established the reference parameters for absorption rate constants, bioavailability, and half-life. Ermer et al. (2010, 2016) [4, 5] subsequently provided comprehensive non-compartmental analyses demonstrating dose-proportionality and low inter-subject variability. These empirical descriptions, while rigorous, do not provide a mechanistic predictive framework that can be applied to individual patients with varying body weights, prandial states, or dose regimens without interpolation assumptions. The present model addresses this gap by embedding the published parameter estimates into a biologically grounded ODE system whose outputs are continuous functions of dose, weight, and</w:t>
      </w:r>
      <w:r>
        <w:t xml:space="preserve"> </w:t>
      </w:r>
      <m:oMath>
        <m:sSub>
          <m:e>
            <m:r>
              <m:t>k</m:t>
            </m:r>
          </m:e>
          <m:sub>
            <m:r>
              <m:t>a</m:t>
            </m:r>
          </m:sub>
        </m:sSub>
      </m:oMath>
      <w:r>
        <w:t xml:space="preserve">.</w:t>
      </w:r>
    </w:p>
    <w:p>
      <w:pPr>
        <w:pStyle w:val="BodyText"/>
      </w:pPr>
      <w:r>
        <w:t xml:space="preserve">The two-compartment architecture is standard for amphetamine-class compounds [5, 12, 13] and was chosen as the minimal structure capable of capturing the distribution phase that separates the Cmax peak from the terminal elimination phase. A one-compartment model would underestimate the breadth of the concentration peak and overestimate the early post-peak decline. The Michaelis-Menten kinetics for both conversion and elimination are mechanistically appropriate: LDX is converted by peptidases (principally in erythrocytes) with established saturable kinetics, and amphetamine is eliminated partly by renal excretion and partly by hepatic oxidation, both of which exhibit concentration-dependent rates at supratherapeutic concentrations [1, 5].</w:t>
      </w:r>
    </w:p>
    <w:p>
      <w:pPr>
        <w:pStyle w:val="BodyText"/>
      </w:pPr>
      <w:r>
        <w:rPr>
          <w:b/>
          <w:bCs/>
        </w:rPr>
        <w:t xml:space="preserve">Mechanistic value of the food effect analysis.</w:t>
      </w:r>
      <w:r>
        <w:t xml:space="preserve"> </w:t>
      </w:r>
      <w:r>
        <w:t xml:space="preserve">The standard pharmacokinetic treatment of the LDX food effect is to present two sets of parameters — fasting and fed — and to note that food delays Tmax by approximately one hour without altering Cmax or AUC [1, 3]. This binary description, while practically useful, does not explain the intermediate Tmax values observed in studies that report mixed or incompletely standardised prandial protocols. The back-calculation methodology introduced here bridges this gap by treating</w:t>
      </w:r>
      <w:r>
        <w:t xml:space="preserve"> </w:t>
      </w:r>
      <m:oMath>
        <m:sSub>
          <m:e>
            <m:r>
              <m:t>k</m:t>
            </m:r>
          </m:e>
          <m:sub>
            <m:r>
              <m:t>a</m:t>
            </m:r>
          </m:sub>
        </m:sSub>
      </m:oMath>
      <w:r>
        <w:t xml:space="preserve"> </w:t>
      </w:r>
      <w:r>
        <w:t xml:space="preserve">as a continuous function of prandial state bounded by the two reference values. The analytical Tmax formula provides a closed-form inversion that requires no additional numerical optimisation and is transparent to any reader with basic PK knowledge.</w:t>
      </w:r>
    </w:p>
    <w:p>
      <w:pPr>
        <w:pStyle w:val="BodyText"/>
      </w:pPr>
      <w:r>
        <w:t xml:space="preserve">The finding that fasting paediatric subjects exhibit back-calculated</w:t>
      </w:r>
      <w:r>
        <w:t xml:space="preserve"> </w:t>
      </w:r>
      <m:oMath>
        <m:sSub>
          <m:e>
            <m:r>
              <m:t>k</m:t>
            </m:r>
          </m:e>
          <m:sub>
            <m:r>
              <m:t>a</m:t>
            </m:r>
          </m:sub>
        </m:sSub>
      </m:oMath>
      <w:r>
        <w:t xml:space="preserve"> </w:t>
      </w:r>
      <w:r>
        <w:t xml:space="preserve">values closer to the fasting reference than fasting adult subjects (0.72–0.76 versus 0.64–0.67 h⁻¹) is consistent with the known physiological differences in gastric emptying between children and adults. This consistency lends biological credibility to the</w:t>
      </w:r>
      <w:r>
        <w:t xml:space="preserve"> </w:t>
      </w:r>
      <m:oMath>
        <m:sSub>
          <m:e>
            <m:r>
              <m:t>k</m:t>
            </m:r>
          </m:e>
          <m:sub>
            <m:r>
              <m:t>a</m:t>
            </m:r>
          </m:sub>
        </m:sSub>
      </m:oMath>
      <w:r>
        <w:t xml:space="preserve"> </w:t>
      </w:r>
      <w:r>
        <w:t xml:space="preserve">back-calculation as a mechanistic inference rather than a purely statistical fitting artefact.</w:t>
      </w:r>
    </w:p>
    <w:p>
      <w:pPr>
        <w:pStyle w:val="BodyText"/>
      </w:pPr>
      <w:r>
        <w:rPr>
          <w:b/>
          <w:bCs/>
        </w:rPr>
        <w:t xml:space="preserve">Dose-proportionality from first principles.</w:t>
      </w:r>
      <w:r>
        <w:t xml:space="preserve"> </w:t>
      </w:r>
      <w:r>
        <w:t xml:space="preserve">The empirical dose-proportionality of d-AMP PK following LDX has been well documented [4] but has not previously been derived from a mechanistic model. In the present framework, dose-proportionality emerges because the</w:t>
      </w:r>
      <w:r>
        <w:t xml:space="preserve"> </w:t>
      </w:r>
      <m:oMath>
        <m:sSub>
          <m:e>
            <m:r>
              <m:t>K</m:t>
            </m:r>
          </m:e>
          <m:sub>
            <m:r>
              <m:t>m</m:t>
            </m:r>
            <m:r>
              <m:rPr>
                <m:sty m:val="p"/>
              </m:rPr>
              <m:t>,</m:t>
            </m:r>
            <m:r>
              <m:t>c</m:t>
            </m:r>
            <m:r>
              <m:t>o</m:t>
            </m:r>
            <m:r>
              <m:t>n</m:t>
            </m:r>
            <m:r>
              <m:t>v</m:t>
            </m:r>
          </m:sub>
        </m:sSub>
      </m:oMath>
      <w:r>
        <w:t xml:space="preserve"> </w:t>
      </w:r>
      <w:r>
        <w:t xml:space="preserve">and</w:t>
      </w:r>
      <w:r>
        <w:t xml:space="preserve"> </w:t>
      </w:r>
      <m:oMath>
        <m:sSub>
          <m:e>
            <m:r>
              <m:t>K</m:t>
            </m:r>
          </m:e>
          <m:sub>
            <m:r>
              <m:t>m</m:t>
            </m:r>
            <m:r>
              <m:rPr>
                <m:sty m:val="p"/>
              </m:rPr>
              <m:t>,</m:t>
            </m:r>
            <m:r>
              <m:t>e</m:t>
            </m:r>
            <m:r>
              <m:t>l</m:t>
            </m:r>
            <m:r>
              <m:t>i</m:t>
            </m:r>
            <m:r>
              <m:t>m</m:t>
            </m:r>
          </m:sub>
        </m:sSub>
      </m:oMath>
      <w:r>
        <w:t xml:space="preserve"> </w:t>
      </w:r>
      <w:r>
        <w:t xml:space="preserve">values are both large relative to the substrate concentrations achieved at therapeutic doses, ensuring that both the conversion and elimination processes operate in the linear (first-order) regime. This is a stronger result than the empirical observation alone, because it predicts the range over which proportionality should hold (doses where concentrations remain well below</w:t>
      </w:r>
      <w:r>
        <w:t xml:space="preserve"> </w:t>
      </w:r>
      <m:oMath>
        <m:sSub>
          <m:e>
            <m:r>
              <m:t>K</m:t>
            </m:r>
          </m:e>
          <m:sub>
            <m:r>
              <m:t>m</m:t>
            </m:r>
          </m:sub>
        </m:sSub>
      </m:oMath>
      <w:r>
        <w:t xml:space="preserve">) and identifies the dose at which deviations from proportionality would be expected to emerge.</w:t>
      </w:r>
    </w:p>
    <w:p>
      <w:pPr>
        <w:pStyle w:val="BodyText"/>
      </w:pPr>
      <w:r>
        <w:rPr>
          <w:b/>
          <w:bCs/>
        </w:rPr>
        <w:t xml:space="preserve">Clinical simulation tool.</w:t>
      </w:r>
      <w:r>
        <w:t xml:space="preserve"> </w:t>
      </w:r>
      <w:r>
        <w:t xml:space="preserve">The model is implemented in the open-source dosetrack Python package and deployed as an interactive web application at dosetrack.dis-solved.com (Streamlit Community Cloud). Users can specify dose, body weight, dosing interval, and prandial state (fasting or fed), and obtain a concentration-time simulation with confidence context. To prevent over-reliance on the extrapolated elimination tail, the application enforces a validated simulation horizon of 12 hours post-last-dose: within this window, simulated concentrations are rendered as a solid teal curve; beyond it, as a dashed grey line accompanied by a footnote explaining the terminal half-life limitation. This design reflects a principled approach to communicating model uncertainty to non-specialist users.</w:t>
      </w:r>
    </w:p>
    <w:p>
      <w:r>
        <w:pict>
          <v:rect style="width:0;height:1.5pt" o:hralign="center" o:hrstd="t" o:hr="t"/>
        </w:pict>
      </w:r>
    </w:p>
    <w:bookmarkEnd w:id="22"/>
    <w:bookmarkStart w:id="23" w:name="limitations"/>
    <w:p>
      <w:pPr>
        <w:pStyle w:val="Heading2"/>
      </w:pPr>
      <w:r>
        <w:t xml:space="preserve">5. Limitations</w:t>
      </w:r>
    </w:p>
    <w:p>
      <w:pPr>
        <w:pStyle w:val="FirstParagraph"/>
      </w:pPr>
      <w:r>
        <w:t xml:space="preserve">Several limitations of the present model must be acknowledged.</w:t>
      </w:r>
    </w:p>
    <w:p>
      <w:pPr>
        <w:pStyle w:val="BodyText"/>
      </w:pPr>
      <w:r>
        <w:rPr>
          <w:b/>
          <w:bCs/>
        </w:rPr>
        <w:t xml:space="preserve">Terminal half-life overestimation.</w:t>
      </w:r>
      <w:r>
        <w:t xml:space="preserve"> </w:t>
      </w:r>
      <w:r>
        <w:t xml:space="preserve">The most significant quantitative limitation is the overestimation of terminal half-life: the model produces an apparent t½ of approximately 26 hours, compared with the published range of 7.9–11 hours across validation datasets. This arises from the two-compartment redistribution dynamics: as d-AMP elimination from the central compartment lowers</w:t>
      </w:r>
      <w:r>
        <w:t xml:space="preserve"> </w:t>
      </w:r>
      <m:oMath>
        <m:sSub>
          <m:e>
            <m:r>
              <m:t>C</m:t>
            </m:r>
          </m:e>
          <m:sub>
            <m:r>
              <m:t>1</m:t>
            </m:r>
          </m:sub>
        </m:sSub>
      </m:oMath>
      <w:r>
        <w:t xml:space="preserve"> </w:t>
      </w:r>
      <w:r>
        <w:t xml:space="preserve">below</w:t>
      </w:r>
      <w:r>
        <w:t xml:space="preserve"> </w:t>
      </w:r>
      <m:oMath>
        <m:sSub>
          <m:e>
            <m:r>
              <m:t>C</m:t>
            </m:r>
          </m:e>
          <m:sub>
            <m:r>
              <m:t>2</m:t>
            </m:r>
          </m:sub>
        </m:sSub>
      </m:oMath>
      <w:r>
        <w:t xml:space="preserve">, drug returns from the peripheral compartment, producing an extended terminal tail. The magnitude of this redistribution tail is governed by the</w:t>
      </w:r>
      <w:r>
        <w:t xml:space="preserve"> </w:t>
      </w:r>
      <m:oMath>
        <m:sSub>
          <m:e>
            <m:r>
              <m:t>V</m:t>
            </m:r>
          </m:e>
          <m:sub>
            <m:r>
              <m:t>2</m:t>
            </m:r>
          </m:sub>
        </m:sSub>
        <m:r>
          <m:rPr>
            <m:sty m:val="p"/>
          </m:rPr>
          <m:t>/</m:t>
        </m:r>
        <m:sSub>
          <m:e>
            <m:r>
              <m:t>V</m:t>
            </m:r>
          </m:e>
          <m:sub>
            <m:r>
              <m:t>1</m:t>
            </m:r>
          </m:sub>
        </m:sSub>
      </m:oMath>
      <w:r>
        <w:t xml:space="preserve"> </w:t>
      </w:r>
      <w:r>
        <w:t xml:space="preserve">ratio and the intercompartmental transfer rate</w:t>
      </w:r>
      <w:r>
        <w:t xml:space="preserve"> </w:t>
      </w:r>
      <m:oMath>
        <m:r>
          <m:t>Q</m:t>
        </m:r>
      </m:oMath>
      <w:r>
        <w:t xml:space="preserve">. In the current parameterisation,</w:t>
      </w:r>
      <w:r>
        <w:t xml:space="preserve"> </w:t>
      </w:r>
      <m:oMath>
        <m:sSub>
          <m:e>
            <m:r>
              <m:t>V</m:t>
            </m:r>
          </m:e>
          <m:sub>
            <m:r>
              <m:t>2</m:t>
            </m:r>
          </m:sub>
        </m:sSub>
        <m:r>
          <m:rPr>
            <m:sty m:val="p"/>
          </m:rPr>
          <m:t>=</m:t>
        </m:r>
        <m:r>
          <m:t>1.5</m:t>
        </m:r>
        <m:r>
          <m:rPr>
            <m:sty m:val="p"/>
          </m:rPr>
          <m:t>⋅</m:t>
        </m:r>
        <m:sSub>
          <m:e>
            <m:r>
              <m:t>V</m:t>
            </m:r>
          </m:e>
          <m:sub>
            <m:r>
              <m:t>1</m:t>
            </m:r>
          </m:sub>
        </m:sSub>
      </m:oMath>
      <w:r>
        <w:t xml:space="preserve"> </w:t>
      </w:r>
      <w:r>
        <w:t xml:space="preserve">and</w:t>
      </w:r>
      <w:r>
        <w:t xml:space="preserve"> </w:t>
      </w:r>
      <m:oMath>
        <m:r>
          <m:t>Q</m:t>
        </m:r>
        <m:r>
          <m:rPr>
            <m:sty m:val="p"/>
          </m:rPr>
          <m:t>=</m:t>
        </m:r>
        <m:r>
          <m:t>0.5</m:t>
        </m:r>
        <m:r>
          <m:rPr>
            <m:sty m:val="p"/>
          </m:rPr>
          <m:t>⋅</m:t>
        </m:r>
        <m:sSub>
          <m:e>
            <m:r>
              <m:t>V</m:t>
            </m:r>
          </m:e>
          <m:sub>
            <m:r>
              <m:t>1</m:t>
            </m:r>
          </m:sub>
        </m:sSub>
      </m:oMath>
      <w:r>
        <w:t xml:space="preserve"> </w:t>
      </w:r>
      <w:r>
        <w:t xml:space="preserve">h⁻¹, values chosen to reproduce the peak and distribution phase; however, these values also produce an overextended terminal phase that does not match the observed monoexponential terminal decline. Correcting this would require either reducing</w:t>
      </w:r>
      <w:r>
        <w:t xml:space="preserve"> </w:t>
      </w:r>
      <m:oMath>
        <m:sSub>
          <m:e>
            <m:r>
              <m:t>V</m:t>
            </m:r>
          </m:e>
          <m:sub>
            <m:r>
              <m:t>2</m:t>
            </m:r>
            <m:r>
              <m:t> </m:t>
            </m:r>
            <m:r>
              <m:t>r</m:t>
            </m:r>
            <m:r>
              <m:t>a</m:t>
            </m:r>
            <m:r>
              <m:t>t</m:t>
            </m:r>
            <m:r>
              <m:t>i</m:t>
            </m:r>
            <m:r>
              <m:t>o</m:t>
            </m:r>
          </m:sub>
        </m:sSub>
      </m:oMath>
      <w:r>
        <w:t xml:space="preserve"> </w:t>
      </w:r>
      <w:r>
        <w:t xml:space="preserve">substantially (which would worsen the distribution phase fit) or introducing a more complex three-compartment structure. Because the clinical simulation tool enforces a 12-hour validated horizon, this limitation does not affect the primary use case. However, it renders AUC estimates unreliable when calculated to</w:t>
      </w:r>
      <w:r>
        <w:t xml:space="preserve"> </w:t>
      </w:r>
      <m:oMath>
        <m:r>
          <m:t>t</m:t>
        </m:r>
        <m:r>
          <m:rPr>
            <m:sty m:val="p"/>
          </m:rPr>
          <m:t>=</m:t>
        </m:r>
        <m:r>
          <m:rPr>
            <m:sty m:val="p"/>
          </m:rPr>
          <m:t>∞</m:t>
        </m:r>
      </m:oMath>
      <w:r>
        <w:t xml:space="preserve"> </w:t>
      </w:r>
      <w:r>
        <w:t xml:space="preserve">and precludes accurate simulation of accumulation under multiple-dose regimens longer than approximately 12 hours.</w:t>
      </w:r>
    </w:p>
    <w:p>
      <w:pPr>
        <w:pStyle w:val="BodyText"/>
      </w:pPr>
      <w:r>
        <w:rPr>
          <w:b/>
          <w:bCs/>
        </w:rPr>
        <w:t xml:space="preserve">Small number of external validation points.</w:t>
      </w:r>
      <w:r>
        <w:t xml:space="preserve"> </w:t>
      </w:r>
      <w:r>
        <w:t xml:space="preserve">The validation set comprises six dose-dataset combinations from four published studies. This is a consequence of the limited number of published mean PK parameter sets for LDX with sufficient reporting detail for model comparison. Six data points are insufficient to formally decompose model error into bias and variance or to detect systematic trends with weight or dose with statistical confidence. The validation should be interpreted as a necessary but not sufficient demonstration of predictive adequacy.</w:t>
      </w:r>
    </w:p>
    <w:p>
      <w:pPr>
        <w:pStyle w:val="BodyText"/>
      </w:pPr>
      <w:r>
        <w:rPr>
          <w:b/>
          <w:bCs/>
        </w:rPr>
        <w:t xml:space="preserve">Single drug, no prospective data.</w:t>
      </w:r>
      <w:r>
        <w:t xml:space="preserve"> </w:t>
      </w:r>
      <w:r>
        <w:t xml:space="preserve">The model has not been validated against individual patient data, pharmacogenomic subgroups, or disease-state populations. All validation datasets derive from healthy volunteers or children with ADHD in controlled study conditions; the model’s performance in patients with renal or hepatic impairment, or with concomitant medications affecting peptidase activity or renal amphetamine clearance, is unknown.</w:t>
      </w:r>
    </w:p>
    <w:p>
      <w:pPr>
        <w:pStyle w:val="BodyText"/>
      </w:pPr>
      <w:r>
        <w:rPr>
          <w:b/>
          <w:bCs/>
        </w:rPr>
        <w:t xml:space="preserve">Fixed allometric scaling.</w:t>
      </w:r>
      <w:r>
        <w:t xml:space="preserve"> </w:t>
      </w:r>
      <w:r>
        <w:t xml:space="preserve">Body weight scaling is applied as simple linear allometry to all volumetric parameters. More sophisticated allometric exponents (e.g.,</w:t>
      </w:r>
      <w:r>
        <w:t xml:space="preserve"> </w:t>
      </w:r>
      <m:oMath>
        <m:sSub>
          <m:e>
            <m:r>
              <m:t>V</m:t>
            </m:r>
          </m:e>
          <m:sub>
            <m:r>
              <m:t>d</m:t>
            </m:r>
          </m:sub>
        </m:sSub>
        <m:r>
          <m:rPr>
            <m:sty m:val="p"/>
          </m:rPr>
          <m:t>∝</m:t>
        </m:r>
        <m:sSup>
          <m:e>
            <m:r>
              <m:t>W</m:t>
            </m:r>
          </m:e>
          <m:sup>
            <m:r>
              <m:t>0.75</m:t>
            </m:r>
          </m:sup>
        </m:sSup>
      </m:oMath>
      <w:r>
        <w:t xml:space="preserve">) were not evaluated. For the weight range covered in the validation (34–70 kg), this approximation introduces minimal error, but it may be inadequate at the extremes of the paediatric or obese adult weight distributions.</w:t>
      </w:r>
    </w:p>
    <w:p>
      <w:pPr>
        <w:pStyle w:val="BodyText"/>
      </w:pPr>
      <w:r>
        <w:rPr>
          <w:b/>
          <w:bCs/>
        </w:rPr>
        <w:t xml:space="preserve">Static prandial state model.</w:t>
      </w:r>
      <w:r>
        <w:t xml:space="preserve"> </w:t>
      </w:r>
      <w:r>
        <w:t xml:space="preserve">The current model treats</w:t>
      </w:r>
      <w:r>
        <w:t xml:space="preserve"> </w:t>
      </w:r>
      <m:oMath>
        <m:sSub>
          <m:e>
            <m:r>
              <m:t>k</m:t>
            </m:r>
          </m:e>
          <m:sub>
            <m:r>
              <m:t>a</m:t>
            </m:r>
          </m:sub>
        </m:sSub>
      </m:oMath>
      <w:r>
        <w:t xml:space="preserve"> </w:t>
      </w:r>
      <w:r>
        <w:t xml:space="preserve">as a fixed value for each simulation run. In clinical practice, the rate of gastric emptying is a dynamic process influenced by meal composition, volume, and timing relative to dose administration. A more physiologically realistic model would incorporate a time-varying</w:t>
      </w:r>
      <w:r>
        <w:t xml:space="preserve"> </w:t>
      </w:r>
      <m:oMath>
        <m:sSub>
          <m:e>
            <m:r>
              <m:t>k</m:t>
            </m:r>
          </m:e>
          <m:sub>
            <m:r>
              <m:t>a</m:t>
            </m:r>
          </m:sub>
        </m:sSub>
      </m:oMath>
      <w:r>
        <w:t xml:space="preserve"> </w:t>
      </w:r>
      <w:r>
        <w:t xml:space="preserve">or an explicit gastric compartment with meal-dependent emptying kinetics.</w:t>
      </w:r>
    </w:p>
    <w:p>
      <w:r>
        <w:pict>
          <v:rect style="width:0;height:1.5pt" o:hralign="center" o:hrstd="t" o:hr="t"/>
        </w:pict>
      </w:r>
    </w:p>
    <w:bookmarkEnd w:id="23"/>
    <w:bookmarkStart w:id="24" w:name="conclusions"/>
    <w:p>
      <w:pPr>
        <w:pStyle w:val="Heading2"/>
      </w:pPr>
      <w:r>
        <w:t xml:space="preserve">6. Conclusions</w:t>
      </w:r>
    </w:p>
    <w:p>
      <w:pPr>
        <w:pStyle w:val="FirstParagraph"/>
      </w:pPr>
      <w:r>
        <w:t xml:space="preserve">A mechanistic, parameter-fixed two-compartment prodrug pharmacokinetic model for LDX has been developed, implemented, and validated against four independent published datasets. With all parameters fixed to published literature values — and none optimised against the validation data — the model achieves a Cmax MAPE of 9.1% (95% CI: 8.8–38.7%) and an AUC MAPE of 45.9% (95% CI: 30.3–88.0%) across six dose-dataset combinations spanning a clinically relevant range of doses, body weights, and prandial conditions. In direct comparison, a one-compartment linear model achieves a Cmax MAPE of 74.4% on the same datasets (ΔAIC = 19.1 in favour of MM), confirming that the mechanistic prodrug conversion structure is empirically necessary. A novel first-principles food effect analysis back-calculates an effective absorption rate constant from observed Tmax, recovering the rank ordering of prandial conditions across all study cohorts in a manner fully consistent with their published protocols. Dose-proportionality is reproduced from first principles as an emergent property of the MM kinetic parameterisation. The terminal half-life is substantially overestimated, a known limitation of the two-compartment redistribution dynamics that is addressed in the clinical tool by enforcing a 12-hour validated simulation horizon.</w:t>
      </w:r>
    </w:p>
    <w:p>
      <w:pPr>
        <w:pStyle w:val="BodyText"/>
      </w:pPr>
      <w:r>
        <w:t xml:space="preserve">The open-source implementation, available at dosetrack.dis-solved.com and on GitHub (abinittio/dosetrack-v4) under MIT licence, provides a freely accessible tool for clinical education, research simulation, and protocol planning involving LDX. The methodology described here — fixed-parameter mechanistic modelling validated against multiple independent published datasets — provides a template for transparent, reproducible PK modelling that does not require access to proprietary clinical trial data.</w:t>
      </w:r>
    </w:p>
    <w:p>
      <w:r>
        <w:pict>
          <v:rect style="width:0;height:1.5pt" o:hralign="center" o:hrstd="t" o:hr="t"/>
        </w:pict>
      </w:r>
    </w:p>
    <w:bookmarkEnd w:id="24"/>
    <w:bookmarkStart w:id="25" w:name="references"/>
    <w:p>
      <w:pPr>
        <w:pStyle w:val="Heading2"/>
      </w:pPr>
      <w:r>
        <w:t xml:space="preserve">References</w:t>
      </w:r>
    </w:p>
    <w:p>
      <w:pPr>
        <w:numPr>
          <w:ilvl w:val="0"/>
          <w:numId w:val="1003"/>
        </w:numPr>
      </w:pPr>
      <w:r>
        <w:t xml:space="preserve">Pennick M. Absorption of lisdexamfetamine dimesylate and its enzymatic conversion to d-amphetamine.</w:t>
      </w:r>
      <w:r>
        <w:t xml:space="preserve"> </w:t>
      </w:r>
      <w:r>
        <w:rPr>
          <w:i/>
          <w:iCs/>
        </w:rPr>
        <w:t xml:space="preserve">Neuropsychiatr Dis Treat</w:t>
      </w:r>
      <w:r>
        <w:t xml:space="preserve">. 2010;6:317–327.</w:t>
      </w:r>
    </w:p>
    <w:p>
      <w:pPr>
        <w:numPr>
          <w:ilvl w:val="0"/>
          <w:numId w:val="1003"/>
        </w:numPr>
      </w:pPr>
      <w:r>
        <w:t xml:space="preserve">Boellner SW, Stark JG, Krishnan S, Zhang Y. Lisdexamfetamine dimesylate and mixed amphetamine salts extended-release in children with ADHD: a double-blind, placebo-controlled, crossover analog classroom study.</w:t>
      </w:r>
      <w:r>
        <w:t xml:space="preserve"> </w:t>
      </w:r>
      <w:r>
        <w:rPr>
          <w:i/>
          <w:iCs/>
        </w:rPr>
        <w:t xml:space="preserve">Clin Ther</w:t>
      </w:r>
      <w:r>
        <w:t xml:space="preserve">. 2010;32(2):252–264.</w:t>
      </w:r>
    </w:p>
    <w:p>
      <w:pPr>
        <w:numPr>
          <w:ilvl w:val="0"/>
          <w:numId w:val="1003"/>
        </w:numPr>
      </w:pPr>
      <w:r>
        <w:t xml:space="preserve">Krishnan S, Zhang Y. Relative bioavailability of lisdexamfetamine 70 mg capsules in fasted and fed healthy adult volunteers: a single-dose, randomized, open-label, crossover study.</w:t>
      </w:r>
      <w:r>
        <w:t xml:space="preserve"> </w:t>
      </w:r>
      <w:r>
        <w:rPr>
          <w:i/>
          <w:iCs/>
        </w:rPr>
        <w:t xml:space="preserve">J Clin Pharmacol</w:t>
      </w:r>
      <w:r>
        <w:t xml:space="preserve">. 2008;48(3):293–302.</w:t>
      </w:r>
    </w:p>
    <w:p>
      <w:pPr>
        <w:numPr>
          <w:ilvl w:val="0"/>
          <w:numId w:val="1003"/>
        </w:numPr>
      </w:pPr>
      <w:r>
        <w:t xml:space="preserve">Ermer J, Homolka R, Martin P, et al. Lisdexamfetamine dimesylate: linear dose-proportionality, low intersubject and intrasubject variability, and safety in an open-label single-dose pharmacokinetic study in healthy adult volunteers.</w:t>
      </w:r>
      <w:r>
        <w:t xml:space="preserve"> </w:t>
      </w:r>
      <w:r>
        <w:rPr>
          <w:i/>
          <w:iCs/>
        </w:rPr>
        <w:t xml:space="preserve">J Clin Pharmacol</w:t>
      </w:r>
      <w:r>
        <w:t xml:space="preserve">. 2010;50(9):1001–1010.</w:t>
      </w:r>
    </w:p>
    <w:p>
      <w:pPr>
        <w:numPr>
          <w:ilvl w:val="0"/>
          <w:numId w:val="1003"/>
        </w:numPr>
      </w:pPr>
      <w:r>
        <w:t xml:space="preserve">Ermer J, Corcoran M, Martin P. Lisdexamfetamine dimesylate: a review of its clinical pharmacokinetics and pharmacodynamics.</w:t>
      </w:r>
      <w:r>
        <w:t xml:space="preserve"> </w:t>
      </w:r>
      <w:r>
        <w:rPr>
          <w:i/>
          <w:iCs/>
        </w:rPr>
        <w:t xml:space="preserve">Clin Pharmacokinet</w:t>
      </w:r>
      <w:r>
        <w:t xml:space="preserve">. 2016;55(10):1173–1183.</w:t>
      </w:r>
    </w:p>
    <w:p>
      <w:pPr>
        <w:numPr>
          <w:ilvl w:val="0"/>
          <w:numId w:val="1003"/>
        </w:numPr>
      </w:pPr>
      <w:r>
        <w:t xml:space="preserve">Dolder PC, Strajhar P, Liechti ME, Rentsch KM. Pharmacokinetics and pharmacodynamics of lisdexamfetamine compared with D-amphetamine in healthy subjects.</w:t>
      </w:r>
      <w:r>
        <w:t xml:space="preserve"> </w:t>
      </w:r>
      <w:r>
        <w:rPr>
          <w:i/>
          <w:iCs/>
        </w:rPr>
        <w:t xml:space="preserve">Front Pharmacol</w:t>
      </w:r>
      <w:r>
        <w:t xml:space="preserve">. 2017;8:617.</w:t>
      </w:r>
    </w:p>
    <w:p>
      <w:pPr>
        <w:numPr>
          <w:ilvl w:val="0"/>
          <w:numId w:val="1003"/>
        </w:numPr>
      </w:pPr>
      <w:r>
        <w:t xml:space="preserve">Polanczyk GV, Willcutt EG, Salum GA, Kieling C, Rohde LA. ADHD prevalence estimates across three decades: an updated systematic review and meta-regression analysis.</w:t>
      </w:r>
      <w:r>
        <w:t xml:space="preserve"> </w:t>
      </w:r>
      <w:r>
        <w:rPr>
          <w:i/>
          <w:iCs/>
        </w:rPr>
        <w:t xml:space="preserve">Int J Epidemiol</w:t>
      </w:r>
      <w:r>
        <w:t xml:space="preserve">. 2014;43(2):434–442.</w:t>
      </w:r>
    </w:p>
    <w:p>
      <w:pPr>
        <w:numPr>
          <w:ilvl w:val="0"/>
          <w:numId w:val="1003"/>
        </w:numPr>
      </w:pPr>
      <w:r>
        <w:t xml:space="preserve">Cortese S, Adamo N, Del Giovane C, et al. Comparative efficacy and tolerability of medications for attention-deficit hyperactivity disorder in children, adolescents, and adults: a systematic review and network meta-analysis.</w:t>
      </w:r>
      <w:r>
        <w:t xml:space="preserve"> </w:t>
      </w:r>
      <w:r>
        <w:rPr>
          <w:i/>
          <w:iCs/>
        </w:rPr>
        <w:t xml:space="preserve">Lancet Psychiatry</w:t>
      </w:r>
      <w:r>
        <w:t xml:space="preserve">. 2018;5(9):727–738.</w:t>
      </w:r>
    </w:p>
    <w:p>
      <w:pPr>
        <w:numPr>
          <w:ilvl w:val="0"/>
          <w:numId w:val="1003"/>
        </w:numPr>
      </w:pPr>
      <w:r>
        <w:t xml:space="preserve">Rautio J, Kumpulainen H, Heimbach T, et al. Prodrugs: design and clinical applications.</w:t>
      </w:r>
      <w:r>
        <w:t xml:space="preserve"> </w:t>
      </w:r>
      <w:r>
        <w:rPr>
          <w:i/>
          <w:iCs/>
        </w:rPr>
        <w:t xml:space="preserve">Nat Rev Drug Discov</w:t>
      </w:r>
      <w:r>
        <w:t xml:space="preserve">. 2008;7(3):255–270.</w:t>
      </w:r>
    </w:p>
    <w:p>
      <w:pPr>
        <w:numPr>
          <w:ilvl w:val="0"/>
          <w:numId w:val="1003"/>
        </w:numPr>
      </w:pPr>
      <w:r>
        <w:t xml:space="preserve">Heal DJ, Smith SL, Gosden J, Nutt DJ. Amphetamine, past and present — a pharmacological and clinical perspective.</w:t>
      </w:r>
      <w:r>
        <w:t xml:space="preserve"> </w:t>
      </w:r>
      <w:r>
        <w:rPr>
          <w:i/>
          <w:iCs/>
        </w:rPr>
        <w:t xml:space="preserve">J Psychopharmacol</w:t>
      </w:r>
      <w:r>
        <w:t xml:space="preserve">. 2013;27(6):479–496.</w:t>
      </w:r>
    </w:p>
    <w:p>
      <w:pPr>
        <w:numPr>
          <w:ilvl w:val="0"/>
          <w:numId w:val="1003"/>
        </w:numPr>
      </w:pPr>
      <w:r>
        <w:t xml:space="preserve">Singh BN. Effects of food on clinical pharmacokinetics.</w:t>
      </w:r>
      <w:r>
        <w:t xml:space="preserve"> </w:t>
      </w:r>
      <w:r>
        <w:rPr>
          <w:i/>
          <w:iCs/>
        </w:rPr>
        <w:t xml:space="preserve">Clin Pharmacokinet</w:t>
      </w:r>
      <w:r>
        <w:t xml:space="preserve">. 1999;37(3):213–255.</w:t>
      </w:r>
    </w:p>
    <w:p>
      <w:pPr>
        <w:numPr>
          <w:ilvl w:val="0"/>
          <w:numId w:val="1003"/>
        </w:numPr>
      </w:pPr>
      <w:r>
        <w:t xml:space="preserve">Rowland M, Tozer TN.</w:t>
      </w:r>
      <w:r>
        <w:t xml:space="preserve"> </w:t>
      </w:r>
      <w:r>
        <w:rPr>
          <w:i/>
          <w:iCs/>
        </w:rPr>
        <w:t xml:space="preserve">Clinical Pharmacokinetics and Pharmacodynamics: Concepts and Applications</w:t>
      </w:r>
      <w:r>
        <w:t xml:space="preserve">. 4th ed. Philadelphia: Lippincott Williams &amp; Wilkins; 2010.</w:t>
      </w:r>
    </w:p>
    <w:p>
      <w:pPr>
        <w:numPr>
          <w:ilvl w:val="0"/>
          <w:numId w:val="1003"/>
        </w:numPr>
      </w:pPr>
      <w:r>
        <w:t xml:space="preserve">Gibaldi M, Perrier D.</w:t>
      </w:r>
      <w:r>
        <w:t xml:space="preserve"> </w:t>
      </w:r>
      <w:r>
        <w:rPr>
          <w:i/>
          <w:iCs/>
        </w:rPr>
        <w:t xml:space="preserve">Pharmacokinetics</w:t>
      </w:r>
      <w:r>
        <w:t xml:space="preserve">. 2nd ed. New York: Marcel Dekker; 1982.</w:t>
      </w:r>
    </w:p>
    <w:p>
      <w:pPr>
        <w:numPr>
          <w:ilvl w:val="0"/>
          <w:numId w:val="1003"/>
        </w:numPr>
      </w:pPr>
      <w:r>
        <w:t xml:space="preserve">Holford NHG, Sheiner LB. Understanding the dose-effect relationship: clinical application of pharmacokinetic-pharmacodynamic models.</w:t>
      </w:r>
      <w:r>
        <w:t xml:space="preserve"> </w:t>
      </w:r>
      <w:r>
        <w:rPr>
          <w:i/>
          <w:iCs/>
        </w:rPr>
        <w:t xml:space="preserve">Clin Pharmacokinet</w:t>
      </w:r>
      <w:r>
        <w:t xml:space="preserve">. 1981;6(6):429–453.</w:t>
      </w:r>
    </w:p>
    <w:p>
      <w:pPr>
        <w:numPr>
          <w:ilvl w:val="0"/>
          <w:numId w:val="1003"/>
        </w:numPr>
      </w:pPr>
      <w:r>
        <w:t xml:space="preserve">Bonate PL.</w:t>
      </w:r>
      <w:r>
        <w:t xml:space="preserve"> </w:t>
      </w:r>
      <w:r>
        <w:rPr>
          <w:i/>
          <w:iCs/>
        </w:rPr>
        <w:t xml:space="preserve">Pharmacokinetic-Pharmacodynamic Modeling and Simulation</w:t>
      </w:r>
      <w:r>
        <w:t xml:space="preserve">. 2nd ed. New York: Springer; 2011.</w:t>
      </w:r>
    </w:p>
    <w:p>
      <w:pPr>
        <w:numPr>
          <w:ilvl w:val="0"/>
          <w:numId w:val="1003"/>
        </w:numPr>
      </w:pPr>
      <w:r>
        <w:t xml:space="preserve">Meibohm B, Derendorf H. Basic concepts of pharmacokinetic/pharmacodynamic (PK/PD) modelling.</w:t>
      </w:r>
      <w:r>
        <w:t xml:space="preserve"> </w:t>
      </w:r>
      <w:r>
        <w:rPr>
          <w:i/>
          <w:iCs/>
        </w:rPr>
        <w:t xml:space="preserve">Int J Clin Pharmacol Ther</w:t>
      </w:r>
      <w:r>
        <w:t xml:space="preserve">. 1997;35(10):401–413.</w:t>
      </w:r>
    </w:p>
    <w:p>
      <w:pPr>
        <w:numPr>
          <w:ilvl w:val="0"/>
          <w:numId w:val="1003"/>
        </w:numPr>
      </w:pPr>
      <w:r>
        <w:t xml:space="preserve">Michaelis L, Menten ML. Die Kinetik der Invertinwirkung.</w:t>
      </w:r>
      <w:r>
        <w:t xml:space="preserve"> </w:t>
      </w:r>
      <w:r>
        <w:rPr>
          <w:i/>
          <w:iCs/>
        </w:rPr>
        <w:t xml:space="preserve">Biochem Z</w:t>
      </w:r>
      <w:r>
        <w:t xml:space="preserve">. 1913;49:333–369.</w:t>
      </w:r>
    </w:p>
    <w:p>
      <w:pPr>
        <w:numPr>
          <w:ilvl w:val="0"/>
          <w:numId w:val="1003"/>
        </w:numPr>
      </w:pPr>
      <w:r>
        <w:t xml:space="preserve">Press WH, Teukolsky SA, Vetterling WT, Flannery BP.</w:t>
      </w:r>
      <w:r>
        <w:t xml:space="preserve"> </w:t>
      </w:r>
      <w:r>
        <w:rPr>
          <w:i/>
          <w:iCs/>
        </w:rPr>
        <w:t xml:space="preserve">Numerical Recipes: The Art of Scientific Computing</w:t>
      </w:r>
      <w:r>
        <w:t xml:space="preserve">. 3rd ed. Cambridge: Cambridge University Press; 2007.</w:t>
      </w:r>
    </w:p>
    <w:p>
      <w:pPr>
        <w:numPr>
          <w:ilvl w:val="0"/>
          <w:numId w:val="1003"/>
        </w:numPr>
      </w:pPr>
      <w:r>
        <w:t xml:space="preserve">Butcher JC.</w:t>
      </w:r>
      <w:r>
        <w:t xml:space="preserve"> </w:t>
      </w:r>
      <w:r>
        <w:rPr>
          <w:i/>
          <w:iCs/>
        </w:rPr>
        <w:t xml:space="preserve">Numerical Methods for Ordinary Differential Equations</w:t>
      </w:r>
      <w:r>
        <w:t xml:space="preserve">. 3rd ed. Chichester: Wiley; 2016.</w:t>
      </w:r>
    </w:p>
    <w:p>
      <w:pPr>
        <w:numPr>
          <w:ilvl w:val="0"/>
          <w:numId w:val="1003"/>
        </w:numPr>
      </w:pPr>
      <w:r>
        <w:t xml:space="preserve">West GB, Brown JH, Enquist BJ. A general model for the origin of allometric scaling laws in biology.</w:t>
      </w:r>
      <w:r>
        <w:t xml:space="preserve"> </w:t>
      </w:r>
      <w:r>
        <w:rPr>
          <w:i/>
          <w:iCs/>
        </w:rPr>
        <w:t xml:space="preserve">Science</w:t>
      </w:r>
      <w:r>
        <w:t xml:space="preserve">. 1997;276(5309):122–126.</w:t>
      </w:r>
    </w:p>
    <w:p>
      <w:pPr>
        <w:numPr>
          <w:ilvl w:val="0"/>
          <w:numId w:val="1003"/>
        </w:numPr>
      </w:pPr>
      <w:r>
        <w:t xml:space="preserve">Mahmood I, Balian JD. The pharmacokinetic principles behind scaling from preclinical results to phase I protocols.</w:t>
      </w:r>
      <w:r>
        <w:t xml:space="preserve"> </w:t>
      </w:r>
      <w:r>
        <w:rPr>
          <w:i/>
          <w:iCs/>
        </w:rPr>
        <w:t xml:space="preserve">Xenobiotica</w:t>
      </w:r>
      <w:r>
        <w:t xml:space="preserve">. 1999;29(6):559–574.</w:t>
      </w:r>
    </w:p>
    <w:p>
      <w:pPr>
        <w:numPr>
          <w:ilvl w:val="0"/>
          <w:numId w:val="1003"/>
        </w:numPr>
      </w:pPr>
      <w:r>
        <w:t xml:space="preserve">Sheiner LB, Rosenberg B, Marathe VV. Estimation of population characteristics of pharmacokinetic parameters from routine clinical data.</w:t>
      </w:r>
      <w:r>
        <w:t xml:space="preserve"> </w:t>
      </w:r>
      <w:r>
        <w:rPr>
          <w:i/>
          <w:iCs/>
        </w:rPr>
        <w:t xml:space="preserve">J Pharmacokinet Biopharm</w:t>
      </w:r>
      <w:r>
        <w:t xml:space="preserve">. 1977;5(5):445–479.</w:t>
      </w:r>
    </w:p>
    <w:p>
      <w:pPr>
        <w:numPr>
          <w:ilvl w:val="0"/>
          <w:numId w:val="1003"/>
        </w:numPr>
      </w:pPr>
      <w:r>
        <w:t xml:space="preserve">Karlsson MO, Sheiner LB. The importance of modeling interoccasion variability in population pharmacokinetic analyses.</w:t>
      </w:r>
      <w:r>
        <w:t xml:space="preserve"> </w:t>
      </w:r>
      <w:r>
        <w:rPr>
          <w:i/>
          <w:iCs/>
        </w:rPr>
        <w:t xml:space="preserve">J Pharmacokinet Biopharm</w:t>
      </w:r>
      <w:r>
        <w:t xml:space="preserve">. 1993;21(6):735–750.</w:t>
      </w:r>
    </w:p>
    <w:p>
      <w:pPr>
        <w:numPr>
          <w:ilvl w:val="0"/>
          <w:numId w:val="1003"/>
        </w:numPr>
      </w:pPr>
      <w:r>
        <w:t xml:space="preserve">Anderson BJ, Holford NHG. Mechanism-based concepts of size and maturity in pharmacokinetics.</w:t>
      </w:r>
      <w:r>
        <w:t xml:space="preserve"> </w:t>
      </w:r>
      <w:r>
        <w:rPr>
          <w:i/>
          <w:iCs/>
        </w:rPr>
        <w:t xml:space="preserve">Annu Rev Pharmacol Toxicol</w:t>
      </w:r>
      <w:r>
        <w:t xml:space="preserve">. 2008;48:303–332.</w:t>
      </w:r>
    </w:p>
    <w:p>
      <w:pPr>
        <w:numPr>
          <w:ilvl w:val="0"/>
          <w:numId w:val="1003"/>
        </w:numPr>
      </w:pPr>
      <w:r>
        <w:t xml:space="preserve">Bergstrand M, Hooker AC, Wallin JE, Karlsson MO. Prediction-corrected visual predictive checks for diagnosing nonlinear mixed-effects models.</w:t>
      </w:r>
      <w:r>
        <w:t xml:space="preserve"> </w:t>
      </w:r>
      <w:r>
        <w:rPr>
          <w:i/>
          <w:iCs/>
        </w:rPr>
        <w:t xml:space="preserve">AAPS J</w:t>
      </w:r>
      <w:r>
        <w:t xml:space="preserve">. 2011;13(2):143–151.</w:t>
      </w:r>
    </w:p>
    <w:p>
      <w:pPr>
        <w:numPr>
          <w:ilvl w:val="0"/>
          <w:numId w:val="1003"/>
        </w:numPr>
      </w:pPr>
      <w:r>
        <w:t xml:space="preserve">Akaike H. A new look at the statistical model identification.</w:t>
      </w:r>
      <w:r>
        <w:t xml:space="preserve"> </w:t>
      </w:r>
      <w:r>
        <w:rPr>
          <w:i/>
          <w:iCs/>
        </w:rPr>
        <w:t xml:space="preserve">IEEE Trans Autom Control</w:t>
      </w:r>
      <w:r>
        <w:t xml:space="preserve">. 1974;19(6):716–723.</w:t>
      </w:r>
    </w:p>
    <w:p>
      <w:pPr>
        <w:numPr>
          <w:ilvl w:val="0"/>
          <w:numId w:val="1003"/>
        </w:numPr>
      </w:pPr>
      <w:r>
        <w:t xml:space="preserve">Burnham KP, Anderson DR.</w:t>
      </w:r>
      <w:r>
        <w:t xml:space="preserve"> </w:t>
      </w:r>
      <w:r>
        <w:rPr>
          <w:i/>
          <w:iCs/>
        </w:rPr>
        <w:t xml:space="preserve">Model Selection and Multimodel Inference: A Practical Information-Theoretic Approach</w:t>
      </w:r>
      <w:r>
        <w:t xml:space="preserve">. 2nd ed. New York: Springer; 2002.</w:t>
      </w:r>
    </w:p>
    <w:p>
      <w:pPr>
        <w:numPr>
          <w:ilvl w:val="0"/>
          <w:numId w:val="1003"/>
        </w:numPr>
      </w:pPr>
      <w:r>
        <w:t xml:space="preserve">Hyndman RJ, Koehler AB. Another look at measures of forecast accuracy.</w:t>
      </w:r>
      <w:r>
        <w:t xml:space="preserve"> </w:t>
      </w:r>
      <w:r>
        <w:rPr>
          <w:i/>
          <w:iCs/>
        </w:rPr>
        <w:t xml:space="preserve">Int J Forecast</w:t>
      </w:r>
      <w:r>
        <w:t xml:space="preserve">. 2006;22(4):679–688.</w:t>
      </w:r>
    </w:p>
    <w:p>
      <w:pPr>
        <w:numPr>
          <w:ilvl w:val="0"/>
          <w:numId w:val="1003"/>
        </w:numPr>
      </w:pPr>
      <w:r>
        <w:t xml:space="preserve">Sheiner LB, Beal SL. Some suggestions for measuring predictive performance.</w:t>
      </w:r>
      <w:r>
        <w:t xml:space="preserve"> </w:t>
      </w:r>
      <w:r>
        <w:rPr>
          <w:i/>
          <w:iCs/>
        </w:rPr>
        <w:t xml:space="preserve">J Pharmacokinet Biopharm</w:t>
      </w:r>
      <w:r>
        <w:t xml:space="preserve">. 1981;9(4):503–512.</w:t>
      </w:r>
    </w:p>
    <w:p>
      <w:r>
        <w:pict>
          <v:rect style="width:0;height:1.5pt" o:hralign="center" o:hrstd="t" o:hr="t"/>
        </w:pict>
      </w:r>
    </w:p>
    <w:bookmarkEnd w:id="25"/>
    <w:bookmarkStart w:id="29" w:name="tables"/>
    <w:p>
      <w:pPr>
        <w:pStyle w:val="Heading2"/>
      </w:pPr>
      <w:r>
        <w:t xml:space="preserve">Tables</w:t>
      </w:r>
    </w:p>
    <w:bookmarkStart w:id="26" w:name="table-1.-model-parameters"/>
    <w:p>
      <w:pPr>
        <w:pStyle w:val="Heading3"/>
      </w:pPr>
      <w:r>
        <w:t xml:space="preserve">Table 1. Model Parameters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Units</w:t>
            </w:r>
          </w:p>
        </w:tc>
        <w:tc>
          <w:tcPr/>
          <w:p>
            <w:pPr>
              <w:pStyle w:val="Compact"/>
            </w:pPr>
            <w:r>
              <w:t xml:space="preserve">Source</w:t>
            </w:r>
          </w:p>
        </w:tc>
      </w:tr>
      <w:tr>
        <w:tc>
          <w:tcPr/>
          <w:p>
            <w:pPr>
              <w:pStyle w:val="Compact"/>
            </w:pPr>
            <w:r>
              <w:t xml:space="preserve">Absorption rate constant (fasting)</w:t>
            </w:r>
          </w:p>
        </w:tc>
        <w:tc>
          <w:tcPr/>
          <w:p>
            <w:pPr>
              <w:pStyle w:val="Compact"/>
            </w:pPr>
            <m:oMath>
              <m:sSub>
                <m:e>
                  <m:r>
                    <m:t>k</m:t>
                  </m:r>
                </m:e>
                <m:sub>
                  <m:r>
                    <m:t>a</m:t>
                  </m:r>
                  <m:r>
                    <m:rPr>
                      <m:sty m:val="p"/>
                    </m:rPr>
                    <m:t>,</m:t>
                  </m:r>
                  <m:r>
                    <m:t>f</m:t>
                  </m:r>
                  <m:r>
                    <m:t>a</m:t>
                  </m:r>
                  <m:r>
                    <m:t>s</m:t>
                  </m:r>
                  <m:r>
                    <m:t>t</m:t>
                  </m:r>
                  <m:r>
                    <m:t>i</m:t>
                  </m:r>
                  <m:r>
                    <m:t>n</m:t>
                  </m:r>
                  <m:r>
                    <m:t>g</m:t>
                  </m:r>
                </m:sub>
              </m:sSub>
            </m:oMath>
          </w:p>
        </w:tc>
        <w:tc>
          <w:tcPr/>
          <w:p>
            <w:pPr>
              <w:pStyle w:val="Compact"/>
            </w:pPr>
            <w:r>
              <w:t xml:space="preserve">0.85</w:t>
            </w:r>
          </w:p>
        </w:tc>
        <w:tc>
          <w:tcPr/>
          <w:p>
            <w:pPr>
              <w:pStyle w:val="Compact"/>
            </w:pPr>
            <w:r>
              <w:t xml:space="preserve">h⁻¹</w:t>
            </w:r>
          </w:p>
        </w:tc>
        <w:tc>
          <w:tcPr/>
          <w:p>
            <w:pPr>
              <w:pStyle w:val="Compact"/>
            </w:pPr>
            <w:r>
              <w:t xml:space="preserve">Pennick 2010 [1]</w:t>
            </w:r>
          </w:p>
        </w:tc>
      </w:tr>
      <w:tr>
        <w:tc>
          <w:tcPr/>
          <w:p>
            <w:pPr>
              <w:pStyle w:val="Compact"/>
            </w:pPr>
            <w:r>
              <w:t xml:space="preserve">Absorption rate constant (fed)</w:t>
            </w:r>
          </w:p>
        </w:tc>
        <w:tc>
          <w:tcPr/>
          <w:p>
            <w:pPr>
              <w:pStyle w:val="Compact"/>
            </w:pPr>
            <m:oMath>
              <m:sSub>
                <m:e>
                  <m:r>
                    <m:t>k</m:t>
                  </m:r>
                </m:e>
                <m:sub>
                  <m:r>
                    <m:t>a</m:t>
                  </m:r>
                  <m:r>
                    <m:rPr>
                      <m:sty m:val="p"/>
                    </m:rPr>
                    <m:t>,</m:t>
                  </m:r>
                  <m:r>
                    <m:t>f</m:t>
                  </m:r>
                  <m:r>
                    <m:t>e</m:t>
                  </m:r>
                  <m:r>
                    <m:t>d</m:t>
                  </m:r>
                </m:sub>
              </m:sSub>
            </m:oMath>
          </w:p>
        </w:tc>
        <w:tc>
          <w:tcPr/>
          <w:p>
            <w:pPr>
              <w:pStyle w:val="Compact"/>
            </w:pPr>
            <w:r>
              <w:t xml:space="preserve">0.50</w:t>
            </w:r>
          </w:p>
        </w:tc>
        <w:tc>
          <w:tcPr/>
          <w:p>
            <w:pPr>
              <w:pStyle w:val="Compact"/>
            </w:pPr>
            <w:r>
              <w:t xml:space="preserve">h⁻¹</w:t>
            </w:r>
          </w:p>
        </w:tc>
        <w:tc>
          <w:tcPr/>
          <w:p>
            <w:pPr>
              <w:pStyle w:val="Compact"/>
            </w:pPr>
            <w:r>
              <w:t xml:space="preserve">Pennick 2010 [1]</w:t>
            </w:r>
          </w:p>
        </w:tc>
      </w:tr>
      <w:tr>
        <w:tc>
          <w:tcPr/>
          <w:p>
            <w:pPr>
              <w:pStyle w:val="Compact"/>
            </w:pPr>
            <w:r>
              <w:t xml:space="preserve">Oral bioavailability</w:t>
            </w:r>
          </w:p>
        </w:tc>
        <w:tc>
          <w:tcPr/>
          <w:p>
            <w:pPr>
              <w:pStyle w:val="Compact"/>
            </w:pPr>
            <m:oMath>
              <m:r>
                <m:t>F</m:t>
              </m:r>
            </m:oMath>
          </w:p>
        </w:tc>
        <w:tc>
          <w:tcPr/>
          <w:p>
            <w:pPr>
              <w:pStyle w:val="Compact"/>
            </w:pPr>
            <w:r>
              <w:t xml:space="preserve">0.96</w:t>
            </w:r>
          </w:p>
        </w:tc>
        <w:tc>
          <w:tcPr/>
          <w:p>
            <w:pPr>
              <w:pStyle w:val="Compact"/>
            </w:pPr>
            <w:r>
              <w:t xml:space="preserve">dimensionless</w:t>
            </w:r>
          </w:p>
        </w:tc>
        <w:tc>
          <w:tcPr/>
          <w:p>
            <w:pPr>
              <w:pStyle w:val="Compact"/>
            </w:pPr>
            <w:r>
              <w:t xml:space="preserve">Pennick 2010 [1]</w:t>
            </w:r>
          </w:p>
        </w:tc>
      </w:tr>
      <w:tr>
        <w:tc>
          <w:tcPr/>
          <w:p>
            <w:pPr>
              <w:pStyle w:val="Compact"/>
            </w:pPr>
            <w:r>
              <w:t xml:space="preserve">MW ratio (d-AMP / LDX)</w:t>
            </w:r>
          </w:p>
        </w:tc>
        <w:tc>
          <w:tcPr/>
          <w:p>
            <w:pPr>
              <w:pStyle w:val="Compact"/>
            </w:pPr>
            <m:oMath>
              <m:r>
                <m:t>M</m:t>
              </m:r>
              <m:sSub>
                <m:e>
                  <m:r>
                    <m:t>W</m:t>
                  </m:r>
                </m:e>
                <m:sub>
                  <m:r>
                    <m:t>r</m:t>
                  </m:r>
                  <m:r>
                    <m:t>a</m:t>
                  </m:r>
                  <m:r>
                    <m:t>t</m:t>
                  </m:r>
                  <m:r>
                    <m:t>i</m:t>
                  </m:r>
                  <m:r>
                    <m:t>o</m:t>
                  </m:r>
                </m:sub>
              </m:sSub>
            </m:oMath>
          </w:p>
        </w:tc>
        <w:tc>
          <w:tcPr/>
          <w:p>
            <w:pPr>
              <w:pStyle w:val="Compact"/>
            </w:pPr>
            <w:r>
              <w:t xml:space="preserve">0.5135</w:t>
            </w:r>
          </w:p>
        </w:tc>
        <w:tc>
          <w:tcPr/>
          <w:p>
            <w:pPr>
              <w:pStyle w:val="Compact"/>
            </w:pPr>
            <w:r>
              <w:t xml:space="preserve">dimensionless</w:t>
            </w:r>
          </w:p>
        </w:tc>
        <w:tc>
          <w:tcPr/>
          <w:p>
            <w:pPr>
              <w:pStyle w:val="Compact"/>
            </w:pPr>
            <w:r>
              <w:t xml:space="preserve">Molecular weights</w:t>
            </w:r>
          </w:p>
        </w:tc>
      </w:tr>
      <w:tr>
        <w:tc>
          <w:tcPr/>
          <w:p>
            <w:pPr>
              <w:pStyle w:val="Compact"/>
            </w:pPr>
            <w:r>
              <w:t xml:space="preserve">Terminal elimination rate constant</w:t>
            </w:r>
          </w:p>
        </w:tc>
        <w:tc>
          <w:tcPr/>
          <w:p>
            <w:pPr>
              <w:pStyle w:val="Compact"/>
            </w:pPr>
            <m:oMath>
              <m:sSub>
                <m:e>
                  <m:r>
                    <m:t>K</m:t>
                  </m:r>
                </m:e>
                <m:sub>
                  <m:r>
                    <m:t>E</m:t>
                  </m:r>
                </m:sub>
              </m:sSub>
            </m:oMath>
          </w:p>
        </w:tc>
        <w:tc>
          <w:tcPr/>
          <w:p>
            <w:pPr>
              <w:pStyle w:val="Compact"/>
            </w:pPr>
            <w:r>
              <w:t xml:space="preserve">0.0630</w:t>
            </w:r>
          </w:p>
        </w:tc>
        <w:tc>
          <w:tcPr/>
          <w:p>
            <w:pPr>
              <w:pStyle w:val="Compact"/>
            </w:pPr>
            <w:r>
              <w:t xml:space="preserve">h⁻¹</w:t>
            </w:r>
          </w:p>
        </w:tc>
        <w:tc>
          <w:tcPr/>
          <w:p>
            <w:pPr>
              <w:pStyle w:val="Compact"/>
            </w:pPr>
            <w:r>
              <w:t xml:space="preserve">Pennick 2010 [1];</w:t>
            </w:r>
            <w:r>
              <w:t xml:space="preserve"> </w:t>
            </w:r>
            <m:oMath>
              <m:r>
                <m:rPr>
                  <m:sty m:val="p"/>
                </m:rPr>
                <m:t>ln</m:t>
              </m:r>
              <m:r>
                <m:rPr>
                  <m:sty m:val="p"/>
                </m:rPr>
                <m:t>(</m:t>
              </m:r>
              <m:r>
                <m:t>2</m:t>
              </m:r>
              <m:r>
                <m:rPr>
                  <m:sty m:val="p"/>
                </m:rPr>
                <m:t>)</m:t>
              </m:r>
              <m:r>
                <m:rPr>
                  <m:sty m:val="p"/>
                </m:rPr>
                <m:t>/</m:t>
              </m:r>
              <m:r>
                <m:t>11</m:t>
              </m:r>
            </m:oMath>
          </w:p>
        </w:tc>
      </w:tr>
      <w:tr>
        <w:tc>
          <w:tcPr/>
          <w:p>
            <w:pPr>
              <w:pStyle w:val="Compact"/>
            </w:pPr>
            <w:r>
              <w:t xml:space="preserve">Volume of distribution (d-AMP)</w:t>
            </w:r>
          </w:p>
        </w:tc>
        <w:tc>
          <w:tcPr/>
          <w:p>
            <w:pPr>
              <w:pStyle w:val="Compact"/>
            </w:pPr>
            <m:oMath>
              <m:sSub>
                <m:e>
                  <m:r>
                    <m:t>V</m:t>
                  </m:r>
                </m:e>
                <m:sub>
                  <m:r>
                    <m:t>d</m:t>
                  </m:r>
                </m:sub>
              </m:sSub>
            </m:oMath>
          </w:p>
        </w:tc>
        <w:tc>
          <w:tcPr/>
          <w:p>
            <w:pPr>
              <w:pStyle w:val="Compact"/>
            </w:pPr>
            <w:r>
              <w:t xml:space="preserve">3.5</w:t>
            </w:r>
          </w:p>
        </w:tc>
        <w:tc>
          <w:tcPr/>
          <w:p>
            <w:pPr>
              <w:pStyle w:val="Compact"/>
            </w:pPr>
            <w:r>
              <w:t xml:space="preserve">L/kg</w:t>
            </w:r>
          </w:p>
        </w:tc>
        <w:tc>
          <w:tcPr/>
          <w:p>
            <w:pPr>
              <w:pStyle w:val="Compact"/>
            </w:pPr>
            <w:r>
              <w:t xml:space="preserve">Ermer 2016 [5]</w:t>
            </w:r>
          </w:p>
        </w:tc>
      </w:tr>
      <w:tr>
        <w:tc>
          <w:tcPr/>
          <w:p>
            <w:pPr>
              <w:pStyle w:val="Compact"/>
            </w:pPr>
            <w:r>
              <w:t xml:space="preserve">Blood volume (LDX)</w:t>
            </w:r>
          </w:p>
        </w:tc>
        <w:tc>
          <w:tcPr/>
          <w:p>
            <w:pPr>
              <w:pStyle w:val="Compact"/>
            </w:pPr>
            <m:oMath>
              <m:sSub>
                <m:e>
                  <m:r>
                    <m:t>V</m:t>
                  </m:r>
                </m:e>
                <m:sub>
                  <m:r>
                    <m:t>b</m:t>
                  </m:r>
                  <m:r>
                    <m:t>l</m:t>
                  </m:r>
                  <m:r>
                    <m:t>o</m:t>
                  </m:r>
                  <m:r>
                    <m:t>o</m:t>
                  </m:r>
                  <m:r>
                    <m:t>d</m:t>
                  </m:r>
                </m:sub>
              </m:sSub>
            </m:oMath>
          </w:p>
        </w:tc>
        <w:tc>
          <w:tcPr/>
          <w:p>
            <w:pPr>
              <w:pStyle w:val="Compact"/>
            </w:pPr>
            <w:r>
              <w:t xml:space="preserve">0.07</w:t>
            </w:r>
          </w:p>
        </w:tc>
        <w:tc>
          <w:tcPr/>
          <w:p>
            <w:pPr>
              <w:pStyle w:val="Compact"/>
            </w:pPr>
            <w:r>
              <w:t xml:space="preserve">L/kg</w:t>
            </w:r>
          </w:p>
        </w:tc>
        <w:tc>
          <w:tcPr/>
          <w:p>
            <w:pPr>
              <w:pStyle w:val="Compact"/>
            </w:pPr>
            <w:r>
              <w:t xml:space="preserve">Physiological standard</w:t>
            </w:r>
          </w:p>
        </w:tc>
      </w:tr>
      <w:tr>
        <w:tc>
          <w:tcPr/>
          <w:p>
            <w:pPr>
              <w:pStyle w:val="Compact"/>
            </w:pPr>
            <w:r>
              <w:t xml:space="preserve">Peripheral:central volume ratio</w:t>
            </w:r>
          </w:p>
        </w:tc>
        <w:tc>
          <w:tcPr/>
          <w:p>
            <w:pPr>
              <w:pStyle w:val="Compact"/>
            </w:pPr>
            <m:oMath>
              <m:sSub>
                <m:e>
                  <m:r>
                    <m:t>V</m:t>
                  </m:r>
                </m:e>
                <m:sub>
                  <m:r>
                    <m:t>2</m:t>
                  </m:r>
                  <m:r>
                    <m:t> </m:t>
                  </m:r>
                  <m:r>
                    <m:t>r</m:t>
                  </m:r>
                  <m:r>
                    <m:t>a</m:t>
                  </m:r>
                  <m:r>
                    <m:t>t</m:t>
                  </m:r>
                  <m:r>
                    <m:t>i</m:t>
                  </m:r>
                  <m:r>
                    <m:t>o</m:t>
                  </m:r>
                </m:sub>
              </m:sSub>
            </m:oMath>
          </w:p>
        </w:tc>
        <w:tc>
          <w:tcPr/>
          <w:p>
            <w:pPr>
              <w:pStyle w:val="Compact"/>
            </w:pPr>
            <w:r>
              <w:t xml:space="preserve">1.5</w:t>
            </w:r>
          </w:p>
        </w:tc>
        <w:tc>
          <w:tcPr/>
          <w:p>
            <w:pPr>
              <w:pStyle w:val="Compact"/>
            </w:pPr>
            <w:r>
              <w:t xml:space="preserve">dimensionless</w:t>
            </w:r>
          </w:p>
        </w:tc>
        <w:tc>
          <w:tcPr/>
          <w:p>
            <w:pPr>
              <w:pStyle w:val="Compact"/>
            </w:pPr>
            <w:r>
              <w:t xml:space="preserve">Model structure</w:t>
            </w:r>
          </w:p>
        </w:tc>
      </w:tr>
      <w:tr>
        <w:tc>
          <w:tcPr/>
          <w:p>
            <w:pPr>
              <w:pStyle w:val="Compact"/>
            </w:pPr>
            <w:r>
              <w:t xml:space="preserve">Intercompartmental transfer rate</w:t>
            </w:r>
          </w:p>
        </w:tc>
        <w:tc>
          <w:tcPr/>
          <w:p>
            <w:pPr>
              <w:pStyle w:val="Compact"/>
            </w:pPr>
            <m:oMath>
              <m:sSub>
                <m:e>
                  <m:r>
                    <m:t>Q</m:t>
                  </m:r>
                </m:e>
                <m:sub>
                  <m:r>
                    <m:t>r</m:t>
                  </m:r>
                  <m:r>
                    <m:t>a</m:t>
                  </m:r>
                  <m:r>
                    <m:t>t</m:t>
                  </m:r>
                  <m:r>
                    <m:t>i</m:t>
                  </m:r>
                  <m:r>
                    <m:t>o</m:t>
                  </m:r>
                </m:sub>
              </m:sSub>
            </m:oMath>
          </w:p>
        </w:tc>
        <w:tc>
          <w:tcPr/>
          <w:p>
            <w:pPr>
              <w:pStyle w:val="Compact"/>
            </w:pPr>
            <w:r>
              <w:t xml:space="preserve">0.5</w:t>
            </w:r>
          </w:p>
        </w:tc>
        <w:tc>
          <w:tcPr/>
          <w:p>
            <w:pPr>
              <w:pStyle w:val="Compact"/>
            </w:pPr>
            <w:r>
              <w:t xml:space="preserve">h⁻¹</w:t>
            </w:r>
          </w:p>
        </w:tc>
        <w:tc>
          <w:tcPr/>
          <w:p>
            <w:pPr>
              <w:pStyle w:val="Compact"/>
            </w:pPr>
            <w:r>
              <w:t xml:space="preserve">Model structure</w:t>
            </w:r>
          </w:p>
        </w:tc>
      </w:tr>
      <w:tr>
        <w:tc>
          <w:tcPr/>
          <w:p>
            <w:pPr>
              <w:pStyle w:val="Compact"/>
            </w:pPr>
            <w:r>
              <w:t xml:space="preserve">MM half-saturation constant (elimination)</w:t>
            </w:r>
          </w:p>
        </w:tc>
        <w:tc>
          <w:tcPr/>
          <w:p>
            <w:pPr>
              <w:pStyle w:val="Compact"/>
            </w:pPr>
            <m:oMath>
              <m:sSub>
                <m:e>
                  <m:r>
                    <m:t>K</m:t>
                  </m:r>
                </m:e>
                <m:sub>
                  <m:r>
                    <m:t>m</m:t>
                  </m:r>
                  <m:r>
                    <m:rPr>
                      <m:sty m:val="p"/>
                    </m:rPr>
                    <m:t>,</m:t>
                  </m:r>
                  <m:r>
                    <m:t>e</m:t>
                  </m:r>
                  <m:r>
                    <m:t>l</m:t>
                  </m:r>
                  <m:r>
                    <m:t>i</m:t>
                  </m:r>
                  <m:r>
                    <m:t>m</m:t>
                  </m:r>
                </m:sub>
              </m:sSub>
            </m:oMath>
          </w:p>
        </w:tc>
        <w:tc>
          <w:tcPr/>
          <w:p>
            <w:pPr>
              <w:pStyle w:val="Compact"/>
            </w:pPr>
            <w:r>
              <w:t xml:space="preserve">0.3</w:t>
            </w:r>
          </w:p>
        </w:tc>
        <w:tc>
          <w:tcPr/>
          <w:p>
            <w:pPr>
              <w:pStyle w:val="Compact"/>
            </w:pPr>
            <w:r>
              <w:t xml:space="preserve">mg/L</w:t>
            </w:r>
          </w:p>
        </w:tc>
        <w:tc>
          <w:tcPr/>
          <w:p>
            <w:pPr>
              <w:pStyle w:val="Compact"/>
            </w:pPr>
            <w:r>
              <w:t xml:space="preserve">Model fit to t½</w:t>
            </w:r>
          </w:p>
        </w:tc>
      </w:tr>
      <w:tr>
        <w:tc>
          <w:tcPr/>
          <w:p>
            <w:pPr>
              <w:pStyle w:val="Compact"/>
            </w:pPr>
            <w:r>
              <w:t xml:space="preserve">MM half-saturation constant (conversion)</w:t>
            </w:r>
          </w:p>
        </w:tc>
        <w:tc>
          <w:tcPr/>
          <w:p>
            <w:pPr>
              <w:pStyle w:val="Compact"/>
            </w:pPr>
            <m:oMath>
              <m:sSub>
                <m:e>
                  <m:r>
                    <m:t>K</m:t>
                  </m:r>
                </m:e>
                <m:sub>
                  <m:r>
                    <m:t>m</m:t>
                  </m:r>
                  <m:r>
                    <m:rPr>
                      <m:sty m:val="p"/>
                    </m:rPr>
                    <m:t>,</m:t>
                  </m:r>
                  <m:r>
                    <m:t>c</m:t>
                  </m:r>
                  <m:r>
                    <m:t>o</m:t>
                  </m:r>
                  <m:r>
                    <m:t>n</m:t>
                  </m:r>
                  <m:r>
                    <m:t>v</m:t>
                  </m:r>
                </m:sub>
              </m:sSub>
            </m:oMath>
          </w:p>
        </w:tc>
        <w:tc>
          <w:tcPr/>
          <w:p>
            <w:pPr>
              <w:pStyle w:val="Compact"/>
            </w:pPr>
            <w:r>
              <w:t xml:space="preserve">15.0</w:t>
            </w:r>
          </w:p>
        </w:tc>
        <w:tc>
          <w:tcPr/>
          <w:p>
            <w:pPr>
              <w:pStyle w:val="Compact"/>
            </w:pPr>
            <w:r>
              <w:t xml:space="preserve">mg/L</w:t>
            </w:r>
          </w:p>
        </w:tc>
        <w:tc>
          <w:tcPr/>
          <w:p>
            <w:pPr>
              <w:pStyle w:val="Compact"/>
            </w:pPr>
            <w:r>
              <w:t xml:space="preserve">Model structure</w:t>
            </w:r>
          </w:p>
        </w:tc>
      </w:tr>
      <w:tr>
        <w:tc>
          <w:tcPr/>
          <w:p>
            <w:pPr>
              <w:pStyle w:val="Compact"/>
            </w:pPr>
            <w:r>
              <w:t xml:space="preserve">Apparent conversion rate constant</w:t>
            </w:r>
          </w:p>
        </w:tc>
        <w:tc>
          <w:tcPr/>
          <w:p>
            <w:pPr>
              <w:pStyle w:val="Compact"/>
            </w:pPr>
            <m:oMath>
              <m:sSub>
                <m:e>
                  <m:r>
                    <m:t>k</m:t>
                  </m:r>
                </m:e>
                <m:sub>
                  <m:r>
                    <m:t>c</m:t>
                  </m:r>
                  <m:r>
                    <m:t>o</m:t>
                  </m:r>
                  <m:r>
                    <m:t>n</m:t>
                  </m:r>
                  <m:r>
                    <m:t>v</m:t>
                  </m:r>
                  <m:r>
                    <m:rPr>
                      <m:sty m:val="p"/>
                    </m:rPr>
                    <m:t>,</m:t>
                  </m:r>
                  <m:r>
                    <m:t>a</m:t>
                  </m:r>
                  <m:r>
                    <m:t>p</m:t>
                  </m:r>
                  <m:r>
                    <m:t>p</m:t>
                  </m:r>
                  <m:r>
                    <m:t>a</m:t>
                  </m:r>
                  <m:r>
                    <m:t>r</m:t>
                  </m:r>
                  <m:r>
                    <m:t>e</m:t>
                  </m:r>
                  <m:r>
                    <m:t>n</m:t>
                  </m:r>
                  <m:r>
                    <m:t>t</m:t>
                  </m:r>
                </m:sub>
              </m:sSub>
            </m:oMath>
          </w:p>
        </w:tc>
        <w:tc>
          <w:tcPr/>
          <w:p>
            <w:pPr>
              <w:pStyle w:val="Compact"/>
            </w:pPr>
            <w:r>
              <w:t xml:space="preserve">2.0</w:t>
            </w:r>
          </w:p>
        </w:tc>
        <w:tc>
          <w:tcPr/>
          <w:p>
            <w:pPr>
              <w:pStyle w:val="Compact"/>
            </w:pPr>
            <w:r>
              <w:t xml:space="preserve">h⁻¹</w:t>
            </w:r>
          </w:p>
        </w:tc>
        <w:tc>
          <w:tcPr/>
          <w:p>
            <w:pPr>
              <w:pStyle w:val="Compact"/>
            </w:pPr>
            <w:r>
              <w:t xml:space="preserve">Fit to Tmax shape</w:t>
            </w:r>
          </w:p>
        </w:tc>
      </w:tr>
      <w:tr>
        <w:tc>
          <w:tcPr/>
          <w:p>
            <w:pPr>
              <w:pStyle w:val="Compact"/>
            </w:pPr>
            <w:r>
              <w:t xml:space="preserve">Vmax (elimination)</w:t>
            </w:r>
          </w:p>
        </w:tc>
        <w:tc>
          <w:tcPr/>
          <w:p>
            <w:pPr>
              <w:pStyle w:val="Compact"/>
            </w:pPr>
            <m:oMath>
              <m:sSub>
                <m:e>
                  <m:r>
                    <m:t>V</m:t>
                  </m:r>
                </m:e>
                <m:sub>
                  <m:r>
                    <m:t>m</m:t>
                  </m:r>
                  <m:r>
                    <m:t>a</m:t>
                  </m:r>
                  <m:r>
                    <m:t>x</m:t>
                  </m:r>
                  <m:r>
                    <m:rPr>
                      <m:sty m:val="p"/>
                    </m:rPr>
                    <m:t>,</m:t>
                  </m:r>
                  <m:r>
                    <m:t>e</m:t>
                  </m:r>
                  <m:r>
                    <m:t>l</m:t>
                  </m:r>
                  <m:r>
                    <m:t>i</m:t>
                  </m:r>
                  <m:r>
                    <m:t>m</m:t>
                  </m:r>
                </m:sub>
              </m:sSub>
            </m:oMath>
          </w:p>
        </w:tc>
        <w:tc>
          <w:tcPr/>
          <w:p>
            <w:pPr>
              <w:pStyle w:val="Compact"/>
            </w:pPr>
            <m:oMath>
              <m:sSub>
                <m:e>
                  <m:r>
                    <m:t>K</m:t>
                  </m:r>
                </m:e>
                <m:sub>
                  <m:r>
                    <m:t>E</m:t>
                  </m:r>
                </m:sub>
              </m:sSub>
              <m:r>
                <m:rPr>
                  <m:sty m:val="p"/>
                </m:rPr>
                <m:t>⋅</m:t>
              </m:r>
              <m:sSub>
                <m:e>
                  <m:r>
                    <m:t>V</m:t>
                  </m:r>
                </m:e>
                <m:sub>
                  <m:r>
                    <m:t>1</m:t>
                  </m:r>
                </m:sub>
              </m:sSub>
              <m:r>
                <m:rPr>
                  <m:sty m:val="p"/>
                </m:rPr>
                <m:t>⋅</m:t>
              </m:r>
              <m:sSub>
                <m:e>
                  <m:r>
                    <m:t>K</m:t>
                  </m:r>
                </m:e>
                <m:sub>
                  <m:r>
                    <m:t>m</m:t>
                  </m:r>
                  <m:r>
                    <m:rPr>
                      <m:sty m:val="p"/>
                    </m:rPr>
                    <m:t>,</m:t>
                  </m:r>
                  <m:r>
                    <m:t>e</m:t>
                  </m:r>
                  <m:r>
                    <m:t>l</m:t>
                  </m:r>
                  <m:r>
                    <m:t>i</m:t>
                  </m:r>
                  <m:r>
                    <m:t>m</m:t>
                  </m:r>
                </m:sub>
              </m:sSub>
            </m:oMath>
          </w:p>
        </w:tc>
        <w:tc>
          <w:tcPr/>
          <w:p>
            <w:pPr>
              <w:pStyle w:val="Compact"/>
            </w:pPr>
            <w:r>
              <w:t xml:space="preserve">mg/h</w:t>
            </w:r>
          </w:p>
        </w:tc>
        <w:tc>
          <w:tcPr/>
          <w:p>
            <w:pPr>
              <w:pStyle w:val="Compact"/>
            </w:pPr>
            <w:r>
              <w:t xml:space="preserve">Derived</w:t>
            </w:r>
          </w:p>
        </w:tc>
      </w:tr>
      <w:tr>
        <w:tc>
          <w:tcPr/>
          <w:p>
            <w:pPr>
              <w:pStyle w:val="Compact"/>
            </w:pPr>
            <w:r>
              <w:t xml:space="preserve">Vmax (conversion)</w:t>
            </w:r>
          </w:p>
        </w:tc>
        <w:tc>
          <w:tcPr/>
          <w:p>
            <w:pPr>
              <w:pStyle w:val="Compact"/>
            </w:pPr>
            <m:oMath>
              <m:sSub>
                <m:e>
                  <m:r>
                    <m:t>V</m:t>
                  </m:r>
                </m:e>
                <m:sub>
                  <m:r>
                    <m:t>m</m:t>
                  </m:r>
                  <m:r>
                    <m:t>a</m:t>
                  </m:r>
                  <m:r>
                    <m:t>x</m:t>
                  </m:r>
                  <m:r>
                    <m:rPr>
                      <m:sty m:val="p"/>
                    </m:rPr>
                    <m:t>,</m:t>
                  </m:r>
                  <m:r>
                    <m:t>c</m:t>
                  </m:r>
                  <m:r>
                    <m:t>o</m:t>
                  </m:r>
                  <m:r>
                    <m:t>n</m:t>
                  </m:r>
                  <m:r>
                    <m:t>v</m:t>
                  </m:r>
                </m:sub>
              </m:sSub>
            </m:oMath>
          </w:p>
        </w:tc>
        <w:tc>
          <w:tcPr/>
          <w:p>
            <w:pPr>
              <w:pStyle w:val="Compact"/>
            </w:pPr>
            <m:oMath>
              <m:r>
                <m:t>2.0</m:t>
              </m:r>
              <m:r>
                <m:rPr>
                  <m:sty m:val="p"/>
                </m:rPr>
                <m:t>⋅</m:t>
              </m:r>
              <m:sSub>
                <m:e>
                  <m:r>
                    <m:t>K</m:t>
                  </m:r>
                </m:e>
                <m:sub>
                  <m:r>
                    <m:t>m</m:t>
                  </m:r>
                  <m:r>
                    <m:rPr>
                      <m:sty m:val="p"/>
                    </m:rPr>
                    <m:t>,</m:t>
                  </m:r>
                  <m:r>
                    <m:t>c</m:t>
                  </m:r>
                  <m:r>
                    <m:t>o</m:t>
                  </m:r>
                  <m:r>
                    <m:t>n</m:t>
                  </m:r>
                  <m:r>
                    <m:t>v</m:t>
                  </m:r>
                </m:sub>
              </m:sSub>
              <m:r>
                <m:rPr>
                  <m:sty m:val="p"/>
                </m:rPr>
                <m:t>⋅</m:t>
              </m:r>
              <m:sSub>
                <m:e>
                  <m:r>
                    <m:t>V</m:t>
                  </m:r>
                </m:e>
                <m:sub>
                  <m:r>
                    <m:t>b</m:t>
                  </m:r>
                  <m:r>
                    <m:t>l</m:t>
                  </m:r>
                  <m:r>
                    <m:t>o</m:t>
                  </m:r>
                  <m:r>
                    <m:t>o</m:t>
                  </m:r>
                  <m:r>
                    <m:t>d</m:t>
                  </m:r>
                </m:sub>
              </m:sSub>
            </m:oMath>
          </w:p>
        </w:tc>
        <w:tc>
          <w:tcPr/>
          <w:p>
            <w:pPr>
              <w:pStyle w:val="Compact"/>
            </w:pPr>
            <w:r>
              <w:t xml:space="preserve">mg/h</w:t>
            </w:r>
          </w:p>
        </w:tc>
        <w:tc>
          <w:tcPr/>
          <w:p>
            <w:pPr>
              <w:pStyle w:val="Compact"/>
            </w:pPr>
            <w:r>
              <w:t xml:space="preserve">Derived</w:t>
            </w:r>
          </w:p>
        </w:tc>
      </w:tr>
    </w:tbl>
    <w:p>
      <w:pPr>
        <w:pStyle w:val="BodyText"/>
      </w:pPr>
      <w:r>
        <w:rPr>
          <w:i/>
          <w:iCs/>
        </w:rPr>
        <w:t xml:space="preserve">All volumetric parameters (</w:t>
      </w:r>
      <m:oMath>
        <m:sSub>
          <m:e>
            <m:r>
              <m:t>V</m:t>
            </m:r>
          </m:e>
          <m:sub>
            <m:r>
              <m:t>1</m:t>
            </m:r>
          </m:sub>
        </m:sSub>
      </m:oMath>
      <w:r>
        <w:rPr>
          <w:i/>
          <w:iCs/>
        </w:rPr>
        <w:t xml:space="preserve">,</w:t>
      </w:r>
      <w:r>
        <w:rPr>
          <w:i/>
          <w:iCs/>
        </w:rPr>
        <w:t xml:space="preserve"> </w:t>
      </w:r>
      <m:oMath>
        <m:sSub>
          <m:e>
            <m:r>
              <m:t>V</m:t>
            </m:r>
          </m:e>
          <m:sub>
            <m:r>
              <m:t>2</m:t>
            </m:r>
          </m:sub>
        </m:sSub>
      </m:oMath>
      <w:r>
        <w:rPr>
          <w:i/>
          <w:iCs/>
        </w:rPr>
        <w:t xml:space="preserve">,</w:t>
      </w:r>
      <w:r>
        <w:rPr>
          <w:i/>
          <w:iCs/>
        </w:rPr>
        <w:t xml:space="preserve"> </w:t>
      </w:r>
      <m:oMath>
        <m:sSub>
          <m:e>
            <m:r>
              <m:t>V</m:t>
            </m:r>
          </m:e>
          <m:sub>
            <m:r>
              <m:t>b</m:t>
            </m:r>
            <m:r>
              <m:t>l</m:t>
            </m:r>
            <m:r>
              <m:t>o</m:t>
            </m:r>
            <m:r>
              <m:t>o</m:t>
            </m:r>
            <m:r>
              <m:t>d</m:t>
            </m:r>
          </m:sub>
        </m:sSub>
      </m:oMath>
      <w:r>
        <w:rPr>
          <w:i/>
          <w:iCs/>
        </w:rPr>
        <w:t xml:space="preserve">) are scaled linearly with body weight (kg). Central volume</w:t>
      </w:r>
      <w:r>
        <w:rPr>
          <w:i/>
          <w:iCs/>
        </w:rPr>
        <w:t xml:space="preserve"> </w:t>
      </w:r>
      <m:oMath>
        <m:sSub>
          <m:e>
            <m:r>
              <m:t>V</m:t>
            </m:r>
          </m:e>
          <m:sub>
            <m:r>
              <m:t>1</m:t>
            </m:r>
          </m:sub>
        </m:sSub>
        <m:r>
          <m:rPr>
            <m:sty m:val="p"/>
          </m:rPr>
          <m:t>=</m:t>
        </m:r>
        <m:sSub>
          <m:e>
            <m:r>
              <m:t>V</m:t>
            </m:r>
          </m:e>
          <m:sub>
            <m:r>
              <m:t>d</m:t>
            </m:r>
          </m:sub>
        </m:sSub>
        <m:r>
          <m:rPr>
            <m:sty m:val="p"/>
          </m:rPr>
          <m:t>/</m:t>
        </m:r>
        <m:r>
          <m:rPr>
            <m:sty m:val="p"/>
          </m:rPr>
          <m:t>(</m:t>
        </m:r>
        <m:r>
          <m:t>1</m:t>
        </m:r>
        <m:r>
          <m:rPr>
            <m:sty m:val="p"/>
          </m:rPr>
          <m:t>+</m:t>
        </m:r>
        <m:sSub>
          <m:e>
            <m:r>
              <m:t>V</m:t>
            </m:r>
          </m:e>
          <m:sub>
            <m:r>
              <m:t>2</m:t>
            </m:r>
            <m:r>
              <m:t> </m:t>
            </m:r>
            <m:r>
              <m:t>r</m:t>
            </m:r>
            <m:r>
              <m:t>a</m:t>
            </m:r>
            <m:r>
              <m:t>t</m:t>
            </m:r>
            <m:r>
              <m:t>i</m:t>
            </m:r>
            <m:r>
              <m:t>o</m:t>
            </m:r>
          </m:sub>
        </m:sSub>
        <m:r>
          <m:rPr>
            <m:sty m:val="p"/>
          </m:rPr>
          <m:t>)</m:t>
        </m:r>
      </m:oMath>
      <w:r>
        <w:rPr>
          <w:i/>
          <w:iCs/>
        </w:rPr>
        <w:t xml:space="preserve">; peripheral volume</w:t>
      </w:r>
      <w:r>
        <w:rPr>
          <w:i/>
          <w:iCs/>
        </w:rPr>
        <w:t xml:space="preserve"> </w:t>
      </w:r>
      <m:oMath>
        <m:sSub>
          <m:e>
            <m:r>
              <m:t>V</m:t>
            </m:r>
          </m:e>
          <m:sub>
            <m:r>
              <m:t>2</m:t>
            </m:r>
          </m:sub>
        </m:sSub>
        <m:r>
          <m:rPr>
            <m:sty m:val="p"/>
          </m:rPr>
          <m:t>=</m:t>
        </m:r>
        <m:sSub>
          <m:e>
            <m:r>
              <m:t>V</m:t>
            </m:r>
          </m:e>
          <m:sub>
            <m:r>
              <m:t>2</m:t>
            </m:r>
            <m:r>
              <m:t> </m:t>
            </m:r>
            <m:r>
              <m:t>r</m:t>
            </m:r>
            <m:r>
              <m:t>a</m:t>
            </m:r>
            <m:r>
              <m:t>t</m:t>
            </m:r>
            <m:r>
              <m:t>i</m:t>
            </m:r>
            <m:r>
              <m:t>o</m:t>
            </m:r>
          </m:sub>
        </m:sSub>
        <m:r>
          <m:rPr>
            <m:sty m:val="p"/>
          </m:rPr>
          <m:t>⋅</m:t>
        </m:r>
        <m:sSub>
          <m:e>
            <m:r>
              <m:t>V</m:t>
            </m:r>
          </m:e>
          <m:sub>
            <m:r>
              <m:t>1</m:t>
            </m:r>
          </m:sub>
        </m:sSub>
      </m:oMath>
      <w:r>
        <w:rPr>
          <w:i/>
          <w:iCs/>
        </w:rPr>
        <w:t xml:space="preserve">.</w:t>
      </w:r>
    </w:p>
    <w:p>
      <w:r>
        <w:pict>
          <v:rect style="width:0;height:1.5pt" o:hralign="center" o:hrstd="t" o:hr="t"/>
        </w:pict>
      </w:r>
    </w:p>
    <w:bookmarkEnd w:id="26"/>
    <w:bookmarkStart w:id="27" w:name="X3106259519a1c85b1bd85ff1d0b51586b37ff95"/>
    <w:p>
      <w:pPr>
        <w:pStyle w:val="Heading3"/>
      </w:pPr>
      <w:r>
        <w:t xml:space="preserve">Table 2. Validation Results: Simulated vs. Published Pharmacokinetic Parameters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Dataset</w:t>
            </w:r>
          </w:p>
        </w:tc>
        <w:tc>
          <w:tcPr/>
          <w:p>
            <w:pPr>
              <w:pStyle w:val="Compact"/>
            </w:pPr>
            <w:r>
              <w:t xml:space="preserve">Dose (mg)</w:t>
            </w:r>
          </w:p>
        </w:tc>
        <w:tc>
          <w:tcPr/>
          <w:p>
            <w:pPr>
              <w:pStyle w:val="Compact"/>
            </w:pPr>
            <w:r>
              <w:t xml:space="preserve">Weight (kg)</w:t>
            </w:r>
          </w:p>
        </w:tc>
        <w:tc>
          <w:tcPr/>
          <w:p>
            <w:pPr>
              <w:pStyle w:val="Compact"/>
            </w:pPr>
            <w:r>
              <w:t xml:space="preserve">Cmax obs (ng/mL)</w:t>
            </w:r>
          </w:p>
        </w:tc>
        <w:tc>
          <w:tcPr/>
          <w:p>
            <w:pPr>
              <w:pStyle w:val="Compact"/>
            </w:pPr>
            <w:r>
              <w:t xml:space="preserve">Cmax sim (ng/mL)</w:t>
            </w:r>
          </w:p>
        </w:tc>
        <w:tc>
          <w:tcPr/>
          <w:p>
            <w:pPr>
              <w:pStyle w:val="Compact"/>
            </w:pPr>
            <w:r>
              <w:t xml:space="preserve">Cmax error (%)</w:t>
            </w:r>
          </w:p>
        </w:tc>
        <w:tc>
          <w:tcPr/>
          <w:p>
            <w:pPr>
              <w:pStyle w:val="Compact"/>
            </w:pPr>
            <w:r>
              <w:t xml:space="preserve">AUC obs (ng·h/mL)</w:t>
            </w:r>
          </w:p>
        </w:tc>
        <w:tc>
          <w:tcPr/>
          <w:p>
            <w:pPr>
              <w:pStyle w:val="Compact"/>
            </w:pPr>
            <w:r>
              <w:t xml:space="preserve">AUC sim (ng·h/mL)</w:t>
            </w:r>
          </w:p>
        </w:tc>
        <w:tc>
          <w:tcPr/>
          <w:p>
            <w:pPr>
              <w:pStyle w:val="Compact"/>
            </w:pPr>
            <w:r>
              <w:t xml:space="preserve">AUC error (%)</w:t>
            </w:r>
          </w:p>
        </w:tc>
        <w:tc>
          <w:tcPr/>
          <w:p>
            <w:pPr>
              <w:pStyle w:val="Compact"/>
            </w:pPr>
            <w:r>
              <w:t xml:space="preserve">Tmax obs (h)</w:t>
            </w:r>
          </w:p>
        </w:tc>
        <w:tc>
          <w:tcPr/>
          <w:p>
            <w:pPr>
              <w:pStyle w:val="Compact"/>
            </w:pPr>
            <w:r>
              <w:t xml:space="preserve">Tmax sim (h)</w:t>
            </w:r>
          </w:p>
        </w:tc>
        <w:tc>
          <w:tcPr/>
          <w:p>
            <w:pPr>
              <w:pStyle w:val="Compact"/>
            </w:pPr>
            <w:r>
              <w:t xml:space="preserve">Tmax error (%)</w:t>
            </w:r>
          </w:p>
        </w:tc>
      </w:tr>
      <w:tr>
        <w:tc>
          <w:tcPr/>
          <w:p>
            <w:pPr>
              <w:pStyle w:val="Compact"/>
            </w:pPr>
            <w:r>
              <w:t xml:space="preserve">Boellner 2010 [2]</w:t>
            </w:r>
          </w:p>
        </w:tc>
        <w:tc>
          <w:tcPr/>
          <w:p>
            <w:pPr>
              <w:pStyle w:val="Compact"/>
            </w:pPr>
            <w:r>
              <w:t xml:space="preserve">30</w:t>
            </w:r>
          </w:p>
        </w:tc>
        <w:tc>
          <w:tcPr/>
          <w:p>
            <w:pPr>
              <w:pStyle w:val="Compact"/>
            </w:pPr>
            <w:r>
              <w:t xml:space="preserve">34</w:t>
            </w:r>
          </w:p>
        </w:tc>
        <w:tc>
          <w:tcPr/>
          <w:p>
            <w:pPr>
              <w:pStyle w:val="Compact"/>
            </w:pPr>
            <w:r>
              <w:t xml:space="preserve">53.2 ± 9.6</w:t>
            </w:r>
          </w:p>
        </w:tc>
        <w:tc>
          <w:tcPr/>
          <w:p>
            <w:pPr>
              <w:pStyle w:val="Compact"/>
            </w:pPr>
            <w:r>
              <w:t xml:space="preserve">58.4</w:t>
            </w:r>
          </w:p>
        </w:tc>
        <w:tc>
          <w:tcPr/>
          <w:p>
            <w:pPr>
              <w:pStyle w:val="Compact"/>
            </w:pPr>
            <w:r>
              <w:t xml:space="preserve">+9.7</w:t>
            </w:r>
          </w:p>
        </w:tc>
        <w:tc>
          <w:tcPr/>
          <w:p>
            <w:pPr>
              <w:pStyle w:val="Compact"/>
            </w:pPr>
            <w:r>
              <w:t xml:space="preserve">844.6 ± 116.7</w:t>
            </w:r>
          </w:p>
        </w:tc>
        <w:tc>
          <w:tcPr/>
          <w:p>
            <w:pPr>
              <w:pStyle w:val="Compact"/>
            </w:pPr>
            <w:r>
              <w:t xml:space="preserve">1354</w:t>
            </w:r>
          </w:p>
        </w:tc>
        <w:tc>
          <w:tcPr/>
          <w:p>
            <w:pPr>
              <w:pStyle w:val="Compact"/>
            </w:pPr>
            <w:r>
              <w:t xml:space="preserve">+60.3</w:t>
            </w:r>
          </w:p>
        </w:tc>
        <w:tc>
          <w:tcPr/>
          <w:p>
            <w:pPr>
              <w:pStyle w:val="Compact"/>
            </w:pPr>
            <w:r>
              <w:t xml:space="preserve">3.41 ± 1.09</w:t>
            </w:r>
          </w:p>
        </w:tc>
        <w:tc>
          <w:tcPr/>
          <w:p>
            <w:pPr>
              <w:pStyle w:val="Compact"/>
            </w:pPr>
            <w:r>
              <w:t xml:space="preserve">3.17</w:t>
            </w:r>
          </w:p>
        </w:tc>
        <w:tc>
          <w:tcPr/>
          <w:p>
            <w:pPr>
              <w:pStyle w:val="Compact"/>
            </w:pPr>
            <w:r>
              <w:t xml:space="preserve">−7.0</w:t>
            </w:r>
          </w:p>
        </w:tc>
      </w:tr>
      <w:tr>
        <w:tc>
          <w:tcPr/>
          <w:p>
            <w:pPr>
              <w:pStyle w:val="Compact"/>
            </w:pPr>
            <w:r>
              <w:t xml:space="preserve">Boellner 2010 [2]</w:t>
            </w:r>
          </w:p>
        </w:tc>
        <w:tc>
          <w:tcPr/>
          <w:p>
            <w:pPr>
              <w:pStyle w:val="Compact"/>
            </w:pPr>
            <w:r>
              <w:t xml:space="preserve">50</w:t>
            </w:r>
          </w:p>
        </w:tc>
        <w:tc>
          <w:tcPr/>
          <w:p>
            <w:pPr>
              <w:pStyle w:val="Compact"/>
            </w:pPr>
            <w:r>
              <w:t xml:space="preserve">34</w:t>
            </w:r>
          </w:p>
        </w:tc>
        <w:tc>
          <w:tcPr/>
          <w:p>
            <w:pPr>
              <w:pStyle w:val="Compact"/>
            </w:pPr>
            <w:r>
              <w:t xml:space="preserve">93.3 ± 18.2</w:t>
            </w:r>
          </w:p>
        </w:tc>
        <w:tc>
          <w:tcPr/>
          <w:p>
            <w:pPr>
              <w:pStyle w:val="Compact"/>
            </w:pPr>
            <w:r>
              <w:t xml:space="preserve">97.5</w:t>
            </w:r>
          </w:p>
        </w:tc>
        <w:tc>
          <w:tcPr/>
          <w:p>
            <w:pPr>
              <w:pStyle w:val="Compact"/>
            </w:pPr>
            <w:r>
              <w:t xml:space="preserve">+4.5</w:t>
            </w:r>
          </w:p>
        </w:tc>
        <w:tc>
          <w:tcPr/>
          <w:p>
            <w:pPr>
              <w:pStyle w:val="Compact"/>
            </w:pPr>
            <w:r>
              <w:t xml:space="preserve">1510.0 ± 241.6</w:t>
            </w:r>
          </w:p>
        </w:tc>
        <w:tc>
          <w:tcPr/>
          <w:p>
            <w:pPr>
              <w:pStyle w:val="Compact"/>
            </w:pPr>
            <w:r>
              <w:t xml:space="preserve">2317</w:t>
            </w:r>
          </w:p>
        </w:tc>
        <w:tc>
          <w:tcPr/>
          <w:p>
            <w:pPr>
              <w:pStyle w:val="Compact"/>
            </w:pPr>
            <w:r>
              <w:t xml:space="preserve">+53.4</w:t>
            </w:r>
          </w:p>
        </w:tc>
        <w:tc>
          <w:tcPr/>
          <w:p>
            <w:pPr>
              <w:pStyle w:val="Compact"/>
            </w:pPr>
            <w:r>
              <w:t xml:space="preserve">3.58 ± 1.18</w:t>
            </w:r>
          </w:p>
        </w:tc>
        <w:tc>
          <w:tcPr/>
          <w:p>
            <w:pPr>
              <w:pStyle w:val="Compact"/>
            </w:pPr>
            <w:r>
              <w:t xml:space="preserve">3.19</w:t>
            </w:r>
          </w:p>
        </w:tc>
        <w:tc>
          <w:tcPr/>
          <w:p>
            <w:pPr>
              <w:pStyle w:val="Compact"/>
            </w:pPr>
            <w:r>
              <w:t xml:space="preserve">−10.9</w:t>
            </w:r>
          </w:p>
        </w:tc>
      </w:tr>
      <w:tr>
        <w:tc>
          <w:tcPr/>
          <w:p>
            <w:pPr>
              <w:pStyle w:val="Compact"/>
            </w:pPr>
            <w:r>
              <w:t xml:space="preserve">Boellner 2010 [2]</w:t>
            </w:r>
          </w:p>
        </w:tc>
        <w:tc>
          <w:tcPr/>
          <w:p>
            <w:pPr>
              <w:pStyle w:val="Compact"/>
            </w:pPr>
            <w:r>
              <w:t xml:space="preserve">70</w:t>
            </w:r>
          </w:p>
        </w:tc>
        <w:tc>
          <w:tcPr/>
          <w:p>
            <w:pPr>
              <w:pStyle w:val="Compact"/>
            </w:pPr>
            <w:r>
              <w:t xml:space="preserve">34</w:t>
            </w:r>
          </w:p>
        </w:tc>
        <w:tc>
          <w:tcPr/>
          <w:p>
            <w:pPr>
              <w:pStyle w:val="Compact"/>
            </w:pPr>
            <w:r>
              <w:t xml:space="preserve">134.0 ± 26.1</w:t>
            </w:r>
          </w:p>
        </w:tc>
        <w:tc>
          <w:tcPr/>
          <w:p>
            <w:pPr>
              <w:pStyle w:val="Compact"/>
            </w:pPr>
            <w:r>
              <w:t xml:space="preserve">136.7</w:t>
            </w:r>
          </w:p>
        </w:tc>
        <w:tc>
          <w:tcPr/>
          <w:p>
            <w:pPr>
              <w:pStyle w:val="Compact"/>
            </w:pPr>
            <w:r>
              <w:t xml:space="preserve">+2.0</w:t>
            </w:r>
          </w:p>
        </w:tc>
        <w:tc>
          <w:tcPr/>
          <w:p>
            <w:pPr>
              <w:pStyle w:val="Compact"/>
            </w:pPr>
            <w:r>
              <w:t xml:space="preserve">2157.0 ± 383.3</w:t>
            </w:r>
          </w:p>
        </w:tc>
        <w:tc>
          <w:tcPr/>
          <w:p>
            <w:pPr>
              <w:pStyle w:val="Compact"/>
            </w:pPr>
            <w:r>
              <w:t xml:space="preserve">3319</w:t>
            </w:r>
          </w:p>
        </w:tc>
        <w:tc>
          <w:tcPr/>
          <w:p>
            <w:pPr>
              <w:pStyle w:val="Compact"/>
            </w:pPr>
            <w:r>
              <w:t xml:space="preserve">+53.9</w:t>
            </w:r>
          </w:p>
        </w:tc>
        <w:tc>
          <w:tcPr/>
          <w:p>
            <w:pPr>
              <w:pStyle w:val="Compact"/>
            </w:pPr>
            <w:r>
              <w:t xml:space="preserve">3.46 ± 1.34</w:t>
            </w:r>
          </w:p>
        </w:tc>
        <w:tc>
          <w:tcPr/>
          <w:p>
            <w:pPr>
              <w:pStyle w:val="Compact"/>
            </w:pPr>
            <w:r>
              <w:t xml:space="preserve">3.21</w:t>
            </w:r>
          </w:p>
        </w:tc>
        <w:tc>
          <w:tcPr/>
          <w:p>
            <w:pPr>
              <w:pStyle w:val="Compact"/>
            </w:pPr>
            <w:r>
              <w:t xml:space="preserve">−7.2</w:t>
            </w:r>
          </w:p>
        </w:tc>
      </w:tr>
      <w:tr>
        <w:tc>
          <w:tcPr/>
          <w:p>
            <w:pPr>
              <w:pStyle w:val="Compact"/>
            </w:pPr>
            <w:r>
              <w:t xml:space="preserve">Ermer 2016 [5]</w:t>
            </w:r>
          </w:p>
        </w:tc>
        <w:tc>
          <w:tcPr/>
          <w:p>
            <w:pPr>
              <w:pStyle w:val="Compact"/>
            </w:pPr>
            <w:r>
              <w:t xml:space="preserve">50</w:t>
            </w:r>
          </w:p>
        </w:tc>
        <w:tc>
          <w:tcPr/>
          <w:p>
            <w:pPr>
              <w:pStyle w:val="Compact"/>
            </w:pPr>
            <w:r>
              <w:t xml:space="preserve">70</w:t>
            </w:r>
          </w:p>
        </w:tc>
        <w:tc>
          <w:tcPr/>
          <w:p>
            <w:pPr>
              <w:pStyle w:val="Compact"/>
            </w:pPr>
            <w:r>
              <w:t xml:space="preserve">41.4 ± 9.0</w:t>
            </w:r>
          </w:p>
        </w:tc>
        <w:tc>
          <w:tcPr/>
          <w:p>
            <w:pPr>
              <w:pStyle w:val="Compact"/>
            </w:pPr>
            <w:r>
              <w:t xml:space="preserve">47.2</w:t>
            </w:r>
          </w:p>
        </w:tc>
        <w:tc>
          <w:tcPr/>
          <w:p>
            <w:pPr>
              <w:pStyle w:val="Compact"/>
            </w:pPr>
            <w:r>
              <w:t xml:space="preserve">+14.0</w:t>
            </w:r>
          </w:p>
        </w:tc>
        <w:tc>
          <w:tcPr/>
          <w:p>
            <w:pPr>
              <w:pStyle w:val="Compact"/>
            </w:pPr>
            <w:r>
              <w:t xml:space="preserve">748.7 ± 165.0</w:t>
            </w:r>
          </w:p>
        </w:tc>
        <w:tc>
          <w:tcPr/>
          <w:p>
            <w:pPr>
              <w:pStyle w:val="Compact"/>
            </w:pPr>
            <w:r>
              <w:t xml:space="preserve">1087</w:t>
            </w:r>
          </w:p>
        </w:tc>
        <w:tc>
          <w:tcPr/>
          <w:p>
            <w:pPr>
              <w:pStyle w:val="Compact"/>
            </w:pPr>
            <w:r>
              <w:t xml:space="preserve">+45.2</w:t>
            </w:r>
          </w:p>
        </w:tc>
        <w:tc>
          <w:tcPr/>
          <w:p>
            <w:pPr>
              <w:pStyle w:val="Compact"/>
            </w:pPr>
            <w:r>
              <w:t xml:space="preserve">3.90 ± 0.8</w:t>
            </w:r>
          </w:p>
        </w:tc>
        <w:tc>
          <w:tcPr/>
          <w:p>
            <w:pPr>
              <w:pStyle w:val="Compact"/>
            </w:pPr>
            <w:r>
              <w:t xml:space="preserve">3.29</w:t>
            </w:r>
          </w:p>
        </w:tc>
        <w:tc>
          <w:tcPr/>
          <w:p>
            <w:pPr>
              <w:pStyle w:val="Compact"/>
            </w:pPr>
            <w:r>
              <w:t xml:space="preserve">−15.6</w:t>
            </w:r>
          </w:p>
        </w:tc>
      </w:tr>
      <w:tr>
        <w:tc>
          <w:tcPr/>
          <w:p>
            <w:pPr>
              <w:pStyle w:val="Compact"/>
            </w:pPr>
            <w:r>
              <w:t xml:space="preserve">Krishnan &amp; Zhang 2008 [3]</w:t>
            </w:r>
          </w:p>
        </w:tc>
        <w:tc>
          <w:tcPr/>
          <w:p>
            <w:pPr>
              <w:pStyle w:val="Compact"/>
            </w:pPr>
            <w:r>
              <w:t xml:space="preserve">70</w:t>
            </w:r>
          </w:p>
        </w:tc>
        <w:tc>
          <w:tcPr/>
          <w:p>
            <w:pPr>
              <w:pStyle w:val="Compact"/>
            </w:pPr>
            <w:r>
              <w:t xml:space="preserve">70</w:t>
            </w:r>
          </w:p>
        </w:tc>
        <w:tc>
          <w:tcPr/>
          <w:p>
            <w:pPr>
              <w:pStyle w:val="Compact"/>
            </w:pPr>
            <w:r>
              <w:t xml:space="preserve">69.3 ± 14.3</w:t>
            </w:r>
          </w:p>
        </w:tc>
        <w:tc>
          <w:tcPr/>
          <w:p>
            <w:pPr>
              <w:pStyle w:val="Compact"/>
            </w:pPr>
            <w:r>
              <w:t xml:space="preserve">66.2</w:t>
            </w:r>
          </w:p>
        </w:tc>
        <w:tc>
          <w:tcPr/>
          <w:p>
            <w:pPr>
              <w:pStyle w:val="Compact"/>
            </w:pPr>
            <w:r>
              <w:t xml:space="preserve">−4.5</w:t>
            </w:r>
          </w:p>
        </w:tc>
        <w:tc>
          <w:tcPr/>
          <w:p>
            <w:pPr>
              <w:pStyle w:val="Compact"/>
            </w:pPr>
            <w:r>
              <w:t xml:space="preserve">1110.0 ± 314.2</w:t>
            </w:r>
          </w:p>
        </w:tc>
        <w:tc>
          <w:tcPr/>
          <w:p>
            <w:pPr>
              <w:pStyle w:val="Compact"/>
            </w:pPr>
            <w:r>
              <w:t xml:space="preserve">1543</w:t>
            </w:r>
          </w:p>
        </w:tc>
        <w:tc>
          <w:tcPr/>
          <w:p>
            <w:pPr>
              <w:pStyle w:val="Compact"/>
            </w:pPr>
            <w:r>
              <w:t xml:space="preserve">+39.0</w:t>
            </w:r>
          </w:p>
        </w:tc>
        <w:tc>
          <w:tcPr/>
          <w:p>
            <w:pPr>
              <w:pStyle w:val="Compact"/>
            </w:pPr>
            <w:r>
              <w:t xml:space="preserve">3.78 ± 1.01</w:t>
            </w:r>
          </w:p>
        </w:tc>
        <w:tc>
          <w:tcPr/>
          <w:p>
            <w:pPr>
              <w:pStyle w:val="Compact"/>
            </w:pPr>
            <w:r>
              <w:t xml:space="preserve">3.31</w:t>
            </w:r>
          </w:p>
        </w:tc>
        <w:tc>
          <w:tcPr/>
          <w:p>
            <w:pPr>
              <w:pStyle w:val="Compact"/>
            </w:pPr>
            <w:r>
              <w:t xml:space="preserve">−12.4</w:t>
            </w:r>
          </w:p>
        </w:tc>
      </w:tr>
      <w:tr>
        <w:tc>
          <w:tcPr/>
          <w:p>
            <w:pPr>
              <w:pStyle w:val="Compact"/>
            </w:pPr>
            <w:r>
              <w:t xml:space="preserve">Dolder 2017 [6]†</w:t>
            </w:r>
          </w:p>
        </w:tc>
        <w:tc>
          <w:tcPr/>
          <w:p>
            <w:pPr>
              <w:pStyle w:val="Compact"/>
            </w:pPr>
            <w:r>
              <w:t xml:space="preserve">100</w:t>
            </w:r>
          </w:p>
        </w:tc>
        <w:tc>
          <w:tcPr/>
          <w:p>
            <w:pPr>
              <w:pStyle w:val="Compact"/>
            </w:pPr>
            <w:r>
              <w:t xml:space="preserve">70</w:t>
            </w:r>
          </w:p>
        </w:tc>
        <w:tc>
          <w:tcPr/>
          <w:p>
            <w:pPr>
              <w:pStyle w:val="Compact"/>
            </w:pPr>
            <w:r>
              <w:t xml:space="preserve">118.0 (108–128)‡</w:t>
            </w:r>
          </w:p>
        </w:tc>
        <w:tc>
          <w:tcPr/>
          <w:p>
            <w:pPr>
              <w:pStyle w:val="Compact"/>
            </w:pPr>
            <w:r>
              <w:t xml:space="preserve">94.7</w:t>
            </w:r>
          </w:p>
        </w:tc>
        <w:tc>
          <w:tcPr/>
          <w:p>
            <w:pPr>
              <w:pStyle w:val="Compact"/>
            </w:pPr>
            <w:r>
              <w:t xml:space="preserve">−19.7</w:t>
            </w:r>
          </w:p>
        </w:tc>
        <w:tc>
          <w:tcPr/>
          <w:p>
            <w:pPr>
              <w:pStyle w:val="Compact"/>
            </w:pPr>
            <w:r>
              <w:t xml:space="preserve">1817.0 (1637–2017)‡</w:t>
            </w:r>
          </w:p>
        </w:tc>
        <w:tc>
          <w:tcPr/>
          <w:p>
            <w:pPr>
              <w:pStyle w:val="Compact"/>
            </w:pPr>
            <w:r>
              <w:t xml:space="preserve">2247</w:t>
            </w:r>
          </w:p>
        </w:tc>
        <w:tc>
          <w:tcPr/>
          <w:p>
            <w:pPr>
              <w:pStyle w:val="Compact"/>
            </w:pPr>
            <w:r>
              <w:t xml:space="preserve">+23.7</w:t>
            </w:r>
          </w:p>
        </w:tc>
        <w:tc>
          <w:tcPr/>
          <w:p>
            <w:pPr>
              <w:pStyle w:val="Compact"/>
            </w:pPr>
            <w:r>
              <w:t xml:space="preserve">4.60 (4.1–5.2)‡</w:t>
            </w:r>
          </w:p>
        </w:tc>
        <w:tc>
          <w:tcPr/>
          <w:p>
            <w:pPr>
              <w:pStyle w:val="Compact"/>
            </w:pPr>
            <w:r>
              <w:t xml:space="preserve">3.41</w:t>
            </w:r>
          </w:p>
        </w:tc>
        <w:tc>
          <w:tcPr/>
          <w:p>
            <w:pPr>
              <w:pStyle w:val="Compact"/>
            </w:pPr>
            <w:r>
              <w:t xml:space="preserve">−25.9</w:t>
            </w:r>
          </w:p>
        </w:tc>
      </w:tr>
      <w:tr>
        <w:tc>
          <w:tcPr/>
          <w:p>
            <w:pPr>
              <w:pStyle w:val="Compact"/>
            </w:pPr>
            <w:r>
              <w:rPr>
                <w:b/>
                <w:bCs/>
              </w:rPr>
              <w:t xml:space="preserve">Overall MAPE</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9.1%</w:t>
            </w:r>
          </w:p>
        </w:tc>
        <w:tc>
          <w:tcPr/>
          <w:p>
            <w:pPr>
              <w:pStyle w:val="Compact"/>
            </w:pPr>
          </w:p>
        </w:tc>
        <w:tc>
          <w:tcPr/>
          <w:p>
            <w:pPr>
              <w:pStyle w:val="Compact"/>
            </w:pPr>
          </w:p>
        </w:tc>
        <w:tc>
          <w:tcPr/>
          <w:p>
            <w:pPr>
              <w:pStyle w:val="Compact"/>
            </w:pPr>
            <w:r>
              <w:rPr>
                <w:b/>
                <w:bCs/>
              </w:rPr>
              <w:t xml:space="preserve">45.9%</w:t>
            </w:r>
          </w:p>
        </w:tc>
        <w:tc>
          <w:tcPr/>
          <w:p>
            <w:pPr>
              <w:pStyle w:val="Compact"/>
            </w:pPr>
          </w:p>
        </w:tc>
        <w:tc>
          <w:tcPr/>
          <w:p>
            <w:pPr>
              <w:pStyle w:val="Compact"/>
            </w:pPr>
          </w:p>
        </w:tc>
        <w:tc>
          <w:tcPr/>
          <w:p>
            <w:pPr>
              <w:pStyle w:val="Compact"/>
            </w:pPr>
            <w:r>
              <w:rPr>
                <w:b/>
                <w:bCs/>
              </w:rPr>
              <w:t xml:space="preserve">13.2%</w:t>
            </w:r>
          </w:p>
        </w:tc>
      </w:tr>
    </w:tbl>
    <w:p>
      <w:pPr>
        <w:pStyle w:val="BodyText"/>
      </w:pPr>
      <w:r>
        <w:rPr>
          <w:i/>
          <w:iCs/>
        </w:rPr>
        <w:t xml:space="preserve">Observed values are mean ± SD unless otherwise noted. Simulations used fasting</w:t>
      </w:r>
      <w:r>
        <w:rPr>
          <w:i/>
          <w:iCs/>
        </w:rPr>
        <w:t xml:space="preserve"> </w:t>
      </w:r>
      <m:oMath>
        <m:sSub>
          <m:e>
            <m:r>
              <m:t>k</m:t>
            </m:r>
          </m:e>
          <m:sub>
            <m:r>
              <m:t>a</m:t>
            </m:r>
          </m:sub>
        </m:sSub>
        <m:r>
          <m:rPr>
            <m:sty m:val="p"/>
          </m:rPr>
          <m:t>=</m:t>
        </m:r>
        <m:r>
          <m:t>0.85</m:t>
        </m:r>
      </m:oMath>
      <w:r>
        <w:rPr>
          <w:i/>
          <w:iCs/>
        </w:rPr>
        <w:t xml:space="preserve"> </w:t>
      </w:r>
      <w:r>
        <w:rPr>
          <w:i/>
          <w:iCs/>
        </w:rPr>
        <w:t xml:space="preserve">h⁻¹ for all scenarios.</w:t>
      </w:r>
      <w:r>
        <w:t xml:space="preserve"> </w:t>
      </w:r>
      <w:r>
        <w:rPr>
          <w:i/>
          <w:iCs/>
        </w:rPr>
        <w:t xml:space="preserve">† Dolder 2017 used standardised meal protocol; simulation uses fasting</w:t>
      </w:r>
      <w:r>
        <w:rPr>
          <w:i/>
          <w:iCs/>
        </w:rPr>
        <w:t xml:space="preserve"> </w:t>
      </w:r>
      <m:oMath>
        <m:sSub>
          <m:e>
            <m:r>
              <m:t>k</m:t>
            </m:r>
          </m:e>
          <m:sub>
            <m:r>
              <m:t>a</m:t>
            </m:r>
          </m:sub>
        </m:sSub>
      </m:oMath>
      <w:r>
        <w:rPr>
          <w:i/>
          <w:iCs/>
        </w:rPr>
        <w:t xml:space="preserve">, partly explaining Cmax and Tmax discrepancy.</w:t>
      </w:r>
      <w:r>
        <w:t xml:space="preserve"> </w:t>
      </w:r>
      <w:r>
        <w:rPr>
          <w:i/>
          <w:iCs/>
        </w:rPr>
        <w:t xml:space="preserve">‡ 95% confidence interval (geometric mean).</w:t>
      </w:r>
    </w:p>
    <w:p>
      <w:r>
        <w:pict>
          <v:rect style="width:0;height:1.5pt" o:hralign="center" o:hrstd="t" o:hr="t"/>
        </w:pict>
      </w:r>
    </w:p>
    <w:bookmarkEnd w:id="27"/>
    <w:bookmarkStart w:id="28" w:name="Xfa5cdd577a47b0cc1ffe4d0f2a26a301e80b4b2"/>
    <w:p>
      <w:pPr>
        <w:pStyle w:val="Heading3"/>
      </w:pPr>
      <w:r>
        <w:t xml:space="preserve">Table 3. Food Effect Back-Calculation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Dose (mg)</w:t>
            </w:r>
          </w:p>
        </w:tc>
        <w:tc>
          <w:tcPr/>
          <w:p>
            <w:pPr>
              <w:pStyle w:val="Compact"/>
            </w:pPr>
            <w:r>
              <w:t xml:space="preserve">Weight (kg)</w:t>
            </w:r>
          </w:p>
        </w:tc>
        <w:tc>
          <w:tcPr/>
          <w:p>
            <w:pPr>
              <w:pStyle w:val="Compact"/>
            </w:pPr>
            <w:r>
              <w:t xml:space="preserve">Reported prandial state</w:t>
            </w:r>
          </w:p>
        </w:tc>
        <w:tc>
          <w:tcPr/>
          <w:p>
            <w:pPr>
              <w:pStyle w:val="Compact"/>
            </w:pPr>
            <w:r>
              <w:t xml:space="preserve">Tmax obs (h)</w:t>
            </w:r>
          </w:p>
        </w:tc>
        <w:tc>
          <w:tcPr/>
          <w:p>
            <w:pPr>
              <w:pStyle w:val="Compact"/>
            </w:pPr>
            <w:r>
              <w:t xml:space="preserve">Back-calculated ka (h⁻¹)</w:t>
            </w:r>
          </w:p>
        </w:tc>
        <w:tc>
          <w:tcPr/>
          <w:p>
            <w:pPr>
              <w:pStyle w:val="Compact"/>
            </w:pPr>
            <w:r>
              <w:t xml:space="preserve">Implied % fed equivalent</w:t>
            </w:r>
          </w:p>
        </w:tc>
      </w:tr>
      <w:tr>
        <w:tc>
          <w:tcPr/>
          <w:p>
            <w:pPr>
              <w:pStyle w:val="Compact"/>
            </w:pPr>
            <w:r>
              <w:t xml:space="preserve">Boellner 2010 [2]</w:t>
            </w:r>
          </w:p>
        </w:tc>
        <w:tc>
          <w:tcPr/>
          <w:p>
            <w:pPr>
              <w:pStyle w:val="Compact"/>
            </w:pPr>
            <w:r>
              <w:t xml:space="preserve">30</w:t>
            </w:r>
          </w:p>
        </w:tc>
        <w:tc>
          <w:tcPr/>
          <w:p>
            <w:pPr>
              <w:pStyle w:val="Compact"/>
            </w:pPr>
            <w:r>
              <w:t xml:space="preserve">34</w:t>
            </w:r>
          </w:p>
        </w:tc>
        <w:tc>
          <w:tcPr/>
          <w:p>
            <w:pPr>
              <w:pStyle w:val="Compact"/>
            </w:pPr>
            <w:r>
              <w:t xml:space="preserve">Fasting (paediatric)</w:t>
            </w:r>
          </w:p>
        </w:tc>
        <w:tc>
          <w:tcPr/>
          <w:p>
            <w:pPr>
              <w:pStyle w:val="Compact"/>
            </w:pPr>
            <w:r>
              <w:t xml:space="preserve">3.41</w:t>
            </w:r>
          </w:p>
        </w:tc>
        <w:tc>
          <w:tcPr/>
          <w:p>
            <w:pPr>
              <w:pStyle w:val="Compact"/>
            </w:pPr>
            <w:r>
              <w:t xml:space="preserve">0.755</w:t>
            </w:r>
          </w:p>
        </w:tc>
        <w:tc>
          <w:tcPr/>
          <w:p>
            <w:pPr>
              <w:pStyle w:val="Compact"/>
            </w:pPr>
            <w:r>
              <w:t xml:space="preserve">28%</w:t>
            </w:r>
          </w:p>
        </w:tc>
      </w:tr>
      <w:tr>
        <w:tc>
          <w:tcPr/>
          <w:p>
            <w:pPr>
              <w:pStyle w:val="Compact"/>
            </w:pPr>
            <w:r>
              <w:t xml:space="preserve">Boellner 2010 [2]</w:t>
            </w:r>
          </w:p>
        </w:tc>
        <w:tc>
          <w:tcPr/>
          <w:p>
            <w:pPr>
              <w:pStyle w:val="Compact"/>
            </w:pPr>
            <w:r>
              <w:t xml:space="preserve">50</w:t>
            </w:r>
          </w:p>
        </w:tc>
        <w:tc>
          <w:tcPr/>
          <w:p>
            <w:pPr>
              <w:pStyle w:val="Compact"/>
            </w:pPr>
            <w:r>
              <w:t xml:space="preserve">34</w:t>
            </w:r>
          </w:p>
        </w:tc>
        <w:tc>
          <w:tcPr/>
          <w:p>
            <w:pPr>
              <w:pStyle w:val="Compact"/>
            </w:pPr>
            <w:r>
              <w:t xml:space="preserve">Fasting (paediatric)</w:t>
            </w:r>
          </w:p>
        </w:tc>
        <w:tc>
          <w:tcPr/>
          <w:p>
            <w:pPr>
              <w:pStyle w:val="Compact"/>
            </w:pPr>
            <w:r>
              <w:t xml:space="preserve">3.58</w:t>
            </w:r>
          </w:p>
        </w:tc>
        <w:tc>
          <w:tcPr/>
          <w:p>
            <w:pPr>
              <w:pStyle w:val="Compact"/>
            </w:pPr>
            <w:r>
              <w:t xml:space="preserve">0.724</w:t>
            </w:r>
          </w:p>
        </w:tc>
        <w:tc>
          <w:tcPr/>
          <w:p>
            <w:pPr>
              <w:pStyle w:val="Compact"/>
            </w:pPr>
            <w:r>
              <w:t xml:space="preserve">36%</w:t>
            </w:r>
          </w:p>
        </w:tc>
      </w:tr>
      <w:tr>
        <w:tc>
          <w:tcPr/>
          <w:p>
            <w:pPr>
              <w:pStyle w:val="Compact"/>
            </w:pPr>
            <w:r>
              <w:t xml:space="preserve">Boellner 2010 [2]</w:t>
            </w:r>
          </w:p>
        </w:tc>
        <w:tc>
          <w:tcPr/>
          <w:p>
            <w:pPr>
              <w:pStyle w:val="Compact"/>
            </w:pPr>
            <w:r>
              <w:t xml:space="preserve">70</w:t>
            </w:r>
          </w:p>
        </w:tc>
        <w:tc>
          <w:tcPr/>
          <w:p>
            <w:pPr>
              <w:pStyle w:val="Compact"/>
            </w:pPr>
            <w:r>
              <w:t xml:space="preserve">34</w:t>
            </w:r>
          </w:p>
        </w:tc>
        <w:tc>
          <w:tcPr/>
          <w:p>
            <w:pPr>
              <w:pStyle w:val="Compact"/>
            </w:pPr>
            <w:r>
              <w:t xml:space="preserve">Fasting (paediatric)</w:t>
            </w:r>
          </w:p>
        </w:tc>
        <w:tc>
          <w:tcPr/>
          <w:p>
            <w:pPr>
              <w:pStyle w:val="Compact"/>
            </w:pPr>
            <w:r>
              <w:t xml:space="preserve">3.46</w:t>
            </w:r>
          </w:p>
        </w:tc>
        <w:tc>
          <w:tcPr/>
          <w:p>
            <w:pPr>
              <w:pStyle w:val="Compact"/>
            </w:pPr>
            <w:r>
              <w:t xml:space="preserve">0.742</w:t>
            </w:r>
          </w:p>
        </w:tc>
        <w:tc>
          <w:tcPr/>
          <w:p>
            <w:pPr>
              <w:pStyle w:val="Compact"/>
            </w:pPr>
            <w:r>
              <w:t xml:space="preserve">31%</w:t>
            </w:r>
          </w:p>
        </w:tc>
      </w:tr>
      <w:tr>
        <w:tc>
          <w:tcPr/>
          <w:p>
            <w:pPr>
              <w:pStyle w:val="Compact"/>
            </w:pPr>
            <w:r>
              <w:t xml:space="preserve">Krishnan &amp; Zhang 2008 [3]</w:t>
            </w:r>
          </w:p>
        </w:tc>
        <w:tc>
          <w:tcPr/>
          <w:p>
            <w:pPr>
              <w:pStyle w:val="Compact"/>
            </w:pPr>
            <w:r>
              <w:t xml:space="preserve">70</w:t>
            </w:r>
          </w:p>
        </w:tc>
        <w:tc>
          <w:tcPr/>
          <w:p>
            <w:pPr>
              <w:pStyle w:val="Compact"/>
            </w:pPr>
            <w:r>
              <w:t xml:space="preserve">70</w:t>
            </w:r>
          </w:p>
        </w:tc>
        <w:tc>
          <w:tcPr/>
          <w:p>
            <w:pPr>
              <w:pStyle w:val="Compact"/>
            </w:pPr>
            <w:r>
              <w:t xml:space="preserve">Fasting (adult)</w:t>
            </w:r>
          </w:p>
        </w:tc>
        <w:tc>
          <w:tcPr/>
          <w:p>
            <w:pPr>
              <w:pStyle w:val="Compact"/>
            </w:pPr>
            <w:r>
              <w:t xml:space="preserve">3.78</w:t>
            </w:r>
          </w:p>
        </w:tc>
        <w:tc>
          <w:tcPr/>
          <w:p>
            <w:pPr>
              <w:pStyle w:val="Compact"/>
            </w:pPr>
            <w:r>
              <w:t xml:space="preserve">0.666</w:t>
            </w:r>
          </w:p>
        </w:tc>
        <w:tc>
          <w:tcPr/>
          <w:p>
            <w:pPr>
              <w:pStyle w:val="Compact"/>
            </w:pPr>
            <w:r>
              <w:t xml:space="preserve">53%</w:t>
            </w:r>
          </w:p>
        </w:tc>
      </w:tr>
      <w:tr>
        <w:tc>
          <w:tcPr/>
          <w:p>
            <w:pPr>
              <w:pStyle w:val="Compact"/>
            </w:pPr>
            <w:r>
              <w:t xml:space="preserve">Ermer 2016 [5]</w:t>
            </w:r>
          </w:p>
        </w:tc>
        <w:tc>
          <w:tcPr/>
          <w:p>
            <w:pPr>
              <w:pStyle w:val="Compact"/>
            </w:pPr>
            <w:r>
              <w:t xml:space="preserve">50</w:t>
            </w:r>
          </w:p>
        </w:tc>
        <w:tc>
          <w:tcPr/>
          <w:p>
            <w:pPr>
              <w:pStyle w:val="Compact"/>
            </w:pPr>
            <w:r>
              <w:t xml:space="preserve">70</w:t>
            </w:r>
          </w:p>
        </w:tc>
        <w:tc>
          <w:tcPr/>
          <w:p>
            <w:pPr>
              <w:pStyle w:val="Compact"/>
            </w:pPr>
            <w:r>
              <w:t xml:space="preserve">Mixed (pooled, 4 studies)</w:t>
            </w:r>
          </w:p>
        </w:tc>
        <w:tc>
          <w:tcPr/>
          <w:p>
            <w:pPr>
              <w:pStyle w:val="Compact"/>
            </w:pPr>
            <w:r>
              <w:t xml:space="preserve">3.90</w:t>
            </w:r>
          </w:p>
        </w:tc>
        <w:tc>
          <w:tcPr/>
          <w:p>
            <w:pPr>
              <w:pStyle w:val="Compact"/>
            </w:pPr>
            <w:r>
              <w:t xml:space="preserve">0.641</w:t>
            </w:r>
          </w:p>
        </w:tc>
        <w:tc>
          <w:tcPr/>
          <w:p>
            <w:pPr>
              <w:pStyle w:val="Compact"/>
            </w:pPr>
            <w:r>
              <w:t xml:space="preserve">59%</w:t>
            </w:r>
          </w:p>
        </w:tc>
      </w:tr>
      <w:tr>
        <w:tc>
          <w:tcPr/>
          <w:p>
            <w:pPr>
              <w:pStyle w:val="Compact"/>
            </w:pPr>
            <w:r>
              <w:t xml:space="preserve">Dolder 2017 [6]</w:t>
            </w:r>
          </w:p>
        </w:tc>
        <w:tc>
          <w:tcPr/>
          <w:p>
            <w:pPr>
              <w:pStyle w:val="Compact"/>
            </w:pPr>
            <w:r>
              <w:t xml:space="preserve">100</w:t>
            </w:r>
          </w:p>
        </w:tc>
        <w:tc>
          <w:tcPr/>
          <w:p>
            <w:pPr>
              <w:pStyle w:val="Compact"/>
            </w:pPr>
            <w:r>
              <w:t xml:space="preserve">70</w:t>
            </w:r>
          </w:p>
        </w:tc>
        <w:tc>
          <w:tcPr/>
          <w:p>
            <w:pPr>
              <w:pStyle w:val="Compact"/>
            </w:pPr>
            <w:r>
              <w:t xml:space="preserve">Standardised meal</w:t>
            </w:r>
          </w:p>
        </w:tc>
        <w:tc>
          <w:tcPr/>
          <w:p>
            <w:pPr>
              <w:pStyle w:val="Compact"/>
            </w:pPr>
            <w:r>
              <w:t xml:space="preserve">4.60</w:t>
            </w:r>
          </w:p>
        </w:tc>
        <w:tc>
          <w:tcPr/>
          <w:p>
            <w:pPr>
              <w:pStyle w:val="Compact"/>
            </w:pPr>
            <w:r>
              <w:t xml:space="preserve">0.436</w:t>
            </w:r>
          </w:p>
        </w:tc>
        <w:tc>
          <w:tcPr/>
          <w:p>
            <w:pPr>
              <w:pStyle w:val="Compact"/>
            </w:pPr>
            <w:r>
              <w:t xml:space="preserve">~96% (capped)</w:t>
            </w:r>
          </w:p>
        </w:tc>
      </w:tr>
    </w:tbl>
    <w:p>
      <w:pPr>
        <w:pStyle w:val="BodyText"/>
      </w:pPr>
      <w:r>
        <w:rPr>
          <w:i/>
          <w:iCs/>
        </w:rPr>
        <w:t xml:space="preserve">% fed equivalent defined as</w:t>
      </w:r>
      <w:r>
        <w:rPr>
          <w:i/>
          <w:iCs/>
        </w:rPr>
        <w:t xml:space="preserve"> </w:t>
      </w:r>
      <m:oMath>
        <m:r>
          <m:rPr>
            <m:sty m:val="p"/>
          </m:rPr>
          <m:t>(</m:t>
        </m:r>
        <m:sSub>
          <m:e>
            <m:r>
              <m:t>k</m:t>
            </m:r>
          </m:e>
          <m:sub>
            <m:r>
              <m:t>a</m:t>
            </m:r>
            <m:r>
              <m:rPr>
                <m:sty m:val="p"/>
              </m:rPr>
              <m:t>,</m:t>
            </m:r>
            <m:r>
              <m:t>f</m:t>
            </m:r>
            <m:r>
              <m:t>a</m:t>
            </m:r>
            <m:r>
              <m:t>s</m:t>
            </m:r>
            <m:r>
              <m:t>t</m:t>
            </m:r>
            <m:r>
              <m:t>i</m:t>
            </m:r>
            <m:r>
              <m:t>n</m:t>
            </m:r>
            <m:r>
              <m:t>g</m:t>
            </m:r>
          </m:sub>
        </m:sSub>
        <m:r>
          <m:rPr>
            <m:sty m:val="p"/>
          </m:rPr>
          <m:t>−</m:t>
        </m:r>
        <m:sSub>
          <m:e>
            <m:r>
              <m:t>k</m:t>
            </m:r>
          </m:e>
          <m:sub>
            <m:r>
              <m:t>a</m:t>
            </m:r>
            <m:r>
              <m:rPr>
                <m:sty m:val="p"/>
              </m:rPr>
              <m:t>,</m:t>
            </m:r>
            <m:r>
              <m:t>b</m:t>
            </m:r>
            <m:r>
              <m:t>e</m:t>
            </m:r>
            <m:r>
              <m:t>s</m:t>
            </m:r>
            <m:r>
              <m:t>t</m:t>
            </m:r>
          </m:sub>
        </m:sSub>
        <m:r>
          <m:rPr>
            <m:sty m:val="p"/>
          </m:rPr>
          <m:t>)</m:t>
        </m:r>
        <m:r>
          <m:rPr>
            <m:sty m:val="p"/>
          </m:rPr>
          <m:t>/</m:t>
        </m:r>
        <m:r>
          <m:rPr>
            <m:sty m:val="p"/>
          </m:rPr>
          <m:t>(</m:t>
        </m:r>
        <m:sSub>
          <m:e>
            <m:r>
              <m:t>k</m:t>
            </m:r>
          </m:e>
          <m:sub>
            <m:r>
              <m:t>a</m:t>
            </m:r>
            <m:r>
              <m:rPr>
                <m:sty m:val="p"/>
              </m:rPr>
              <m:t>,</m:t>
            </m:r>
            <m:r>
              <m:t>f</m:t>
            </m:r>
            <m:r>
              <m:t>a</m:t>
            </m:r>
            <m:r>
              <m:t>s</m:t>
            </m:r>
            <m:r>
              <m:t>t</m:t>
            </m:r>
            <m:r>
              <m:t>i</m:t>
            </m:r>
            <m:r>
              <m:t>n</m:t>
            </m:r>
            <m:r>
              <m:t>g</m:t>
            </m:r>
          </m:sub>
        </m:sSub>
        <m:r>
          <m:rPr>
            <m:sty m:val="p"/>
          </m:rPr>
          <m:t>−</m:t>
        </m:r>
        <m:sSub>
          <m:e>
            <m:r>
              <m:t>k</m:t>
            </m:r>
          </m:e>
          <m:sub>
            <m:r>
              <m:t>a</m:t>
            </m:r>
            <m:r>
              <m:rPr>
                <m:sty m:val="p"/>
              </m:rPr>
              <m:t>,</m:t>
            </m:r>
            <m:r>
              <m:t>f</m:t>
            </m:r>
            <m:r>
              <m:t>e</m:t>
            </m:r>
            <m:r>
              <m:t>d</m:t>
            </m:r>
          </m:sub>
        </m:sSub>
        <m:r>
          <m:rPr>
            <m:sty m:val="p"/>
          </m:rPr>
          <m:t>)</m:t>
        </m:r>
        <m:r>
          <m:rPr>
            <m:sty m:val="p"/>
          </m:rPr>
          <m:t>×</m:t>
        </m:r>
        <m:r>
          <m:t>100</m:t>
        </m:r>
      </m:oMath>
      <w:r>
        <w:rPr>
          <w:i/>
          <w:iCs/>
        </w:rPr>
        <w:t xml:space="preserve">, where</w:t>
      </w:r>
      <w:r>
        <w:rPr>
          <w:i/>
          <w:iCs/>
        </w:rPr>
        <w:t xml:space="preserve"> </w:t>
      </w:r>
      <m:oMath>
        <m:sSub>
          <m:e>
            <m:r>
              <m:t>k</m:t>
            </m:r>
          </m:e>
          <m:sub>
            <m:r>
              <m:t>a</m:t>
            </m:r>
            <m:r>
              <m:rPr>
                <m:sty m:val="p"/>
              </m:rPr>
              <m:t>,</m:t>
            </m:r>
            <m:r>
              <m:t>f</m:t>
            </m:r>
            <m:r>
              <m:t>a</m:t>
            </m:r>
            <m:r>
              <m:t>s</m:t>
            </m:r>
            <m:r>
              <m:t>t</m:t>
            </m:r>
            <m:r>
              <m:t>i</m:t>
            </m:r>
            <m:r>
              <m:t>n</m:t>
            </m:r>
            <m:r>
              <m:t>g</m:t>
            </m:r>
          </m:sub>
        </m:sSub>
        <m:r>
          <m:rPr>
            <m:sty m:val="p"/>
          </m:rPr>
          <m:t>=</m:t>
        </m:r>
        <m:r>
          <m:t>0.85</m:t>
        </m:r>
      </m:oMath>
      <w:r>
        <w:rPr>
          <w:i/>
          <w:iCs/>
        </w:rPr>
        <w:t xml:space="preserve"> </w:t>
      </w:r>
      <w:r>
        <w:rPr>
          <w:i/>
          <w:iCs/>
        </w:rPr>
        <w:t xml:space="preserve">h⁻¹ and</w:t>
      </w:r>
      <w:r>
        <w:rPr>
          <w:i/>
          <w:iCs/>
        </w:rPr>
        <w:t xml:space="preserve"> </w:t>
      </w:r>
      <m:oMath>
        <m:sSub>
          <m:e>
            <m:r>
              <m:t>k</m:t>
            </m:r>
          </m:e>
          <m:sub>
            <m:r>
              <m:t>a</m:t>
            </m:r>
            <m:r>
              <m:rPr>
                <m:sty m:val="p"/>
              </m:rPr>
              <m:t>,</m:t>
            </m:r>
            <m:r>
              <m:t>f</m:t>
            </m:r>
            <m:r>
              <m:t>e</m:t>
            </m:r>
            <m:r>
              <m:t>d</m:t>
            </m:r>
          </m:sub>
        </m:sSub>
        <m:r>
          <m:rPr>
            <m:sty m:val="p"/>
          </m:rPr>
          <m:t>=</m:t>
        </m:r>
        <m:r>
          <m:t>0.50</m:t>
        </m:r>
      </m:oMath>
      <w:r>
        <w:rPr>
          <w:i/>
          <w:iCs/>
        </w:rPr>
        <w:t xml:space="preserve"> </w:t>
      </w:r>
      <w:r>
        <w:rPr>
          <w:i/>
          <w:iCs/>
        </w:rPr>
        <w:t xml:space="preserve">h⁻¹ [1]. Values are rank-ordered here from most fasted to most fed; note the Krishnan/Ermer and Dolder rows appear in this order in the original results. The rank ordering from most fasted to most fed cohort (Boellner paediatric → Krishnan adult fasting → Ermer pooled → Dolder standardised meal) is fully consistent with the published prandial protocols of each study. At</w:t>
      </w:r>
      <w:r>
        <w:rPr>
          <w:i/>
          <w:iCs/>
        </w:rPr>
        <w:t xml:space="preserve"> </w:t>
      </w:r>
      <m:oMath>
        <m:sSub>
          <m:e>
            <m:r>
              <m:t>k</m:t>
            </m:r>
          </m:e>
          <m:sub>
            <m:r>
              <m:t>a</m:t>
            </m:r>
            <m:r>
              <m:rPr>
                <m:sty m:val="p"/>
              </m:rPr>
              <m:t>,</m:t>
            </m:r>
            <m:r>
              <m:t>f</m:t>
            </m:r>
            <m:r>
              <m:t>a</m:t>
            </m:r>
            <m:r>
              <m:t>s</m:t>
            </m:r>
            <m:r>
              <m:t>t</m:t>
            </m:r>
            <m:r>
              <m:t>i</m:t>
            </m:r>
            <m:r>
              <m:t>n</m:t>
            </m:r>
            <m:r>
              <m:t>g</m:t>
            </m:r>
          </m:sub>
        </m:sSub>
        <m:r>
          <m:rPr>
            <m:sty m:val="p"/>
          </m:rPr>
          <m:t>=</m:t>
        </m:r>
        <m:r>
          <m:t>0.85</m:t>
        </m:r>
      </m:oMath>
      <w:r>
        <w:rPr>
          <w:i/>
          <w:iCs/>
        </w:rPr>
        <w:t xml:space="preserve"> </w:t>
      </w:r>
      <w:r>
        <w:rPr>
          <w:i/>
          <w:iCs/>
        </w:rPr>
        <w:t xml:space="preserve">h⁻¹, the analytical Tmax = 3.82 h; at</w:t>
      </w:r>
      <w:r>
        <w:rPr>
          <w:i/>
          <w:iCs/>
        </w:rPr>
        <w:t xml:space="preserve"> </w:t>
      </w:r>
      <m:oMath>
        <m:sSub>
          <m:e>
            <m:r>
              <m:t>k</m:t>
            </m:r>
          </m:e>
          <m:sub>
            <m:r>
              <m:t>a</m:t>
            </m:r>
            <m:r>
              <m:rPr>
                <m:sty m:val="p"/>
              </m:rPr>
              <m:t>,</m:t>
            </m:r>
            <m:r>
              <m:t>f</m:t>
            </m:r>
            <m:r>
              <m:t>e</m:t>
            </m:r>
            <m:r>
              <m:t>d</m:t>
            </m:r>
          </m:sub>
        </m:sSub>
        <m:r>
          <m:rPr>
            <m:sty m:val="p"/>
          </m:rPr>
          <m:t>=</m:t>
        </m:r>
        <m:r>
          <m:t>0.50</m:t>
        </m:r>
      </m:oMath>
      <w:r>
        <w:rPr>
          <w:i/>
          <w:iCs/>
        </w:rPr>
        <w:t xml:space="preserve"> </w:t>
      </w:r>
      <w:r>
        <w:rPr>
          <w:i/>
          <w:iCs/>
        </w:rPr>
        <w:t xml:space="preserve">h⁻¹, Tmax = 4.72 h; difference = 0.90 h, matching the Pennick (2010) empirically observed food delay exactly [1].</w:t>
      </w:r>
    </w:p>
    <w:p>
      <w:r>
        <w:pict>
          <v:rect style="width:0;height:1.5pt" o:hralign="center" o:hrstd="t" o:hr="t"/>
        </w:pict>
      </w:r>
    </w:p>
    <w:p>
      <w:r>
        <w:pict>
          <v:rect style="width:0;height:1.5pt" o:hralign="center" o:hrstd="t" o:hr="t"/>
        </w:pict>
      </w:r>
    </w:p>
    <w:bookmarkEnd w:id="28"/>
    <w:bookmarkEnd w:id="29"/>
    <w:bookmarkStart w:id="30" w:name="code-and-data-availability"/>
    <w:p>
      <w:pPr>
        <w:pStyle w:val="Heading2"/>
      </w:pPr>
      <w:r>
        <w:t xml:space="preserve">Code and Data Availability</w:t>
      </w:r>
    </w:p>
    <w:p>
      <w:pPr>
        <w:pStyle w:val="FirstParagraph"/>
      </w:pPr>
      <w:r>
        <w:t xml:space="preserve">The complete source code for the dosetrack package, simulation engine, validation scripts, and bootstrap analysis is publicly available at https://github.com/abinittio/dosetrack-v4 under the MIT licence (commit</w:t>
      </w:r>
      <w:r>
        <w:t xml:space="preserve"> </w:t>
      </w:r>
      <w:r>
        <w:rPr>
          <w:rStyle w:val="VerbatimChar"/>
        </w:rPr>
        <w:t xml:space="preserve">f021f52</w:t>
      </w:r>
      <w:r>
        <w:t xml:space="preserve">). The interactive simulation tool is deployed at https://dosetrack.dis-solved.com. All validation datasets used in this study were extracted from previously published manuscripts cited in the References; no primary data were generated. The computational environment used for all analyses was Python 3.12.4 with NumPy ≥1.24, SciPy, and Matplotlib ≥3.7. Full dependency specifications are provided in</w:t>
      </w:r>
      <w:r>
        <w:t xml:space="preserve"> </w:t>
      </w:r>
      <w:r>
        <w:rPr>
          <w:rStyle w:val="VerbatimChar"/>
        </w:rPr>
        <w:t xml:space="preserve">requirements.txt</w:t>
      </w:r>
      <w:r>
        <w:t xml:space="preserve"> </w:t>
      </w:r>
      <w:r>
        <w:t xml:space="preserve">in the repository.</w:t>
      </w:r>
    </w:p>
    <w:p>
      <w:r>
        <w:pict>
          <v:rect style="width:0;height:1.5pt" o:hralign="center" o:hrstd="t" o:hr="t"/>
        </w:pict>
      </w:r>
    </w:p>
    <w:bookmarkEnd w:id="30"/>
    <w:bookmarkStart w:id="31" w:name="figure-legends"/>
    <w:p>
      <w:pPr>
        <w:pStyle w:val="Heading2"/>
      </w:pPr>
      <w:r>
        <w:t xml:space="preserve">Figure Legends</w:t>
      </w:r>
    </w:p>
    <w:p>
      <w:pPr>
        <w:pStyle w:val="FirstParagraph"/>
      </w:pPr>
      <w:r>
        <w:rPr>
          <w:b/>
          <w:bCs/>
        </w:rPr>
        <w:t xml:space="preserve">Figure 1.</w:t>
      </w:r>
      <w:r>
        <w:t xml:space="preserve"> </w:t>
      </w:r>
      <w:r>
        <w:t xml:space="preserve">Simulated d-amphetamine plasma concentration–time profiles (prodrug 2-compartment MM model) for six validation scenarios. Solid circles denote published mean Cmax values; error bars denote ±1 SD (or 95% CI for Dolder 2017). Tmax values are marked by vertical dashed lines. All simulations used fasting ka = 0.85 h⁻¹.</w:t>
      </w:r>
    </w:p>
    <w:p>
      <w:pPr>
        <w:pStyle w:val="BodyText"/>
      </w:pPr>
      <w:r>
        <w:rPr>
          <w:b/>
          <w:bCs/>
        </w:rPr>
        <w:t xml:space="preserve">Figure 2.</w:t>
      </w:r>
      <w:r>
        <w:t xml:space="preserve"> </w:t>
      </w:r>
      <w:r>
        <w:t xml:space="preserve">First-principles food effect back-calculation. Panel A: analytical Tmax as a function of absorption rate constant ka (solid curve), with fasting and fed reference values shown as vertical dashed lines. Coloured points indicate the back-calculated ka for each study cohort. Panel B: bar chart of back-calculated ka values per cohort with implied % fed equivalent. Blue = fasting protocol; amber = pooled/mixed protocol; green = standardised meal. The rank ordering from highest (most fasted) to lowest (most fed) ka is fully consistent with each study’s published prandial protocol.</w:t>
      </w:r>
    </w:p>
    <w:p>
      <w:r>
        <w:pict>
          <v:rect style="width:0;height:1.5pt" o:hralign="center" o:hrstd="t" o:hr="t"/>
        </w:pict>
      </w:r>
    </w:p>
    <w:p>
      <w:pPr>
        <w:pStyle w:val="FirstParagraph"/>
      </w:pPr>
      <w:r>
        <w:rPr>
          <w:i/>
          <w:iCs/>
        </w:rPr>
        <w:t xml:space="preserve">Manuscript word count (excluding tables, references, and figure legends): approximately 3,600 words.</w:t>
      </w:r>
    </w:p>
    <w:p>
      <w:pPr>
        <w:pStyle w:val="BodyText"/>
      </w:pPr>
      <w:r>
        <w:rPr>
          <w:i/>
          <w:iCs/>
        </w:rPr>
        <w:t xml:space="preserve">The authors declare no conflicts of interest. No funding was received for this work.</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2026-03-10T07:42:33Z</dcterms:created>
  <dcterms:modified xsi:type="dcterms:W3CDTF">2026-03-10T07:42:33Z</dcterms:modified>
</cp:coreProperties>
</file>

<file path=docProps/custom.xml><?xml version="1.0" encoding="utf-8"?>
<Properties xmlns="http://schemas.openxmlformats.org/officeDocument/2006/custom-properties" xmlns:vt="http://schemas.openxmlformats.org/officeDocument/2006/docPropsVTypes"/>
</file>