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2"/>
          <w:szCs w:val="52"/>
        </w:rPr>
        <w:t xml:space="preserve">EXECUTIVE HOTEL BOOKING</w:t>
      </w:r>
    </w:p>
    <w:p>
      <w:pPr>
        <w:spacing w:after="200"/>
        <w:jc w:val="center"/>
      </w:pPr>
      <w:r>
        <w:rPr>
          <w:b/>
          <w:bCs/>
          <w:color w:val="1f4e79"/>
          <w:sz w:val="52"/>
          <w:szCs w:val="52"/>
        </w:rPr>
        <w:t xml:space="preserve">EDA REPORT</w:t>
      </w:r>
    </w:p>
    <w:p>
      <w:pPr>
        <w:pBdr>
          <w:bottom w:val="single" w:color="f6b93b" w:sz="18" w:space="10"/>
        </w:pBdr>
        <w:spacing w:after="60"/>
        <w:jc w:val="center"/>
      </w:pPr>
      <w:r>
        <w:rPr>
          <w:sz w:val="4"/>
          <w:szCs w:val="4"/>
        </w:rPr>
        <w:t xml:space="preserve"> </w:t>
      </w:r>
    </w:p>
    <w:p>
      <w:pPr>
        <w:spacing w:after="80" w:before="400"/>
        <w:jc w:val="center"/>
      </w:pPr>
      <w:r>
        <w:rPr>
          <w:i/>
          <w:iCs/>
          <w:color w:val="595959"/>
          <w:sz w:val="24"/>
          <w:szCs w:val="24"/>
        </w:rPr>
        <w:t xml:space="preserve">Data-Driven Insights for Hotel Revenue &amp; Cancellation Management</w:t>
      </w:r>
    </w:p>
    <w:p>
      <w:pPr>
        <w:spacing w:before="600"/>
        <w:jc w:val="center"/>
      </w:pPr>
      <w:r>
        <w:rPr>
          <w:color w:val="595959"/>
          <w:sz w:val="22"/>
          <w:szCs w:val="22"/>
        </w:rPr>
        <w:t xml:space="preserve">Day 15 Assignment — Full EDA Workflow</w:t>
      </w:r>
    </w:p>
    <w:p>
      <w:pPr>
        <w:spacing w:before="120"/>
        <w:jc w:val="center"/>
      </w:pPr>
      <w:r>
        <w:rPr>
          <w:color w:val="595959"/>
          <w:sz w:val="20"/>
          <w:szCs w:val="20"/>
        </w:rPr>
        <w:t xml:space="preserve">Dataset: 25,180 hotel bookings across 10 global locations</w:t>
      </w:r>
    </w:p>
    <w:p>
      <w:pPr>
        <w:spacing w:before="120"/>
        <w:jc w:val="center"/>
      </w:pPr>
      <w:r>
        <w:rPr>
          <w:color w:val="595959"/>
          <w:sz w:val="20"/>
          <w:szCs w:val="20"/>
        </w:rPr>
        <w:t xml:space="preserve">Prepared: 30 August 2026</w:t>
      </w:r>
    </w:p>
    <w:p>
      <w:r>
        <w:br w:type="page"/>
      </w:r>
    </w:p>
    <w:p>
      <w:pPr>
        <w:pStyle w:val="Heading1"/>
        <w:pBdr>
          <w:bottom w:val="single" w:color="1f4e79" w:sz="6" w:space="4"/>
        </w:pBdr>
        <w:spacing w:after="160" w:before="320"/>
      </w:pPr>
      <w:r>
        <w:rPr>
          <w:b/>
          <w:bCs/>
          <w:color w:val="1f4e79"/>
          <w:sz w:val="30"/>
          <w:szCs w:val="30"/>
        </w:rPr>
        <w:t xml:space="preserve">Executive Summary</w:t>
      </w:r>
    </w:p>
    <w:p>
      <w:pPr>
        <w:spacing w:after="160" w:line="300"/>
      </w:pPr>
      <w:r>
        <w:rPr>
          <w:color w:val="262626"/>
          <w:sz w:val="21"/>
          <w:szCs w:val="21"/>
        </w:rPr>
        <w:t xml:space="preserve">This report presents a complete exploratory data analysis (EDA) of 25,180 hotel booking records spanning City and Resort hotels across 10 locations, undertaken to surface data quality issues and translate booking patterns into actionable insights for management.</w:t>
      </w:r>
    </w:p>
    <w:p>
      <w:pPr>
        <w:spacing w:after="160" w:line="300"/>
      </w:pPr>
      <w:r>
        <w:rPr>
          <w:color w:val="262626"/>
          <w:sz w:val="21"/>
          <w:szCs w:val="21"/>
        </w:rPr>
        <w:t xml:space="preserve">The dataset was cleaned and standardized (duplicate removal, text normalization, date validation, missing-value treatment) before univariate, bivariate, group-wise, and correlation analysis was carried out. The headline finding is a very high overall cancellation rate of 72.2%, strongly associated with long booking lead times and, unexpectedly, with the "Non-Refund" deposit type. This exposes an estimated $9.6M in booked-but-unrealized revenue. Five key insights and seven management recommendations are detailed in Sections 6 and 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1f4e79" w:val="clear"/>
            <w:tcMar>
              <w:top w:type="dxa" w:w="80"/>
              <w:left w:type="dxa" w:w="100"/>
              <w:bottom w:type="dxa" w:w="80"/>
              <w:right w:type="dxa" w:w="100"/>
            </w:tcMar>
          </w:tcPr>
          <w:p>
            <w:r>
              <w:rPr>
                <w:b/>
                <w:bCs/>
                <w:color w:val="FFFFFF"/>
                <w:sz w:val="19"/>
                <w:szCs w:val="19"/>
              </w:rPr>
              <w:t xml:space="preserve">Metric</w:t>
            </w:r>
          </w:p>
        </w:tc>
        <w:tc>
          <w:tcPr>
            <w:tcW w:type="dxa" w:w="5000"/>
            <w:shd w:fill="1f4e79" w:val="clear"/>
            <w:tcMar>
              <w:top w:type="dxa" w:w="80"/>
              <w:left w:type="dxa" w:w="100"/>
              <w:bottom w:type="dxa" w:w="80"/>
              <w:right w:type="dxa" w:w="100"/>
            </w:tcMar>
          </w:tcPr>
          <w:p>
            <w:r>
              <w:rPr>
                <w:b/>
                <w:bCs/>
                <w:color w:val="FFFFFF"/>
                <w:sz w:val="19"/>
                <w:szCs w:val="19"/>
              </w:rPr>
              <w:t xml:space="preserve">Value</w:t>
            </w:r>
          </w:p>
        </w:tc>
      </w:tr>
      <w:tr>
        <w:tc>
          <w:tcPr>
            <w:tcW w:type="dxa" w:w="4500"/>
            <w:tcMar>
              <w:top w:type="dxa" w:w="80"/>
              <w:left w:type="dxa" w:w="100"/>
              <w:bottom w:type="dxa" w:w="80"/>
              <w:right w:type="dxa" w:w="100"/>
            </w:tcMar>
          </w:tcPr>
          <w:p>
            <w:r>
              <w:rPr>
                <w:b w:val="false"/>
                <w:bCs w:val="false"/>
                <w:color w:val="262626"/>
                <w:sz w:val="19"/>
                <w:szCs w:val="19"/>
              </w:rPr>
              <w:t xml:space="preserve">Total Bookings (raw)</w:t>
            </w:r>
          </w:p>
        </w:tc>
        <w:tc>
          <w:tcPr>
            <w:tcW w:type="dxa" w:w="5000"/>
            <w:tcMar>
              <w:top w:type="dxa" w:w="80"/>
              <w:left w:type="dxa" w:w="100"/>
              <w:bottom w:type="dxa" w:w="80"/>
              <w:right w:type="dxa" w:w="100"/>
            </w:tcMar>
          </w:tcPr>
          <w:p>
            <w:r>
              <w:rPr>
                <w:b w:val="false"/>
                <w:bCs w:val="false"/>
                <w:color w:val="262626"/>
                <w:sz w:val="19"/>
                <w:szCs w:val="19"/>
              </w:rPr>
              <w:t xml:space="preserve">25,180</w:t>
            </w:r>
          </w:p>
        </w:tc>
      </w:tr>
      <w:tr>
        <w:tc>
          <w:tcPr>
            <w:tcW w:type="dxa" w:w="4500"/>
            <w:shd w:fill="F2F2F2" w:val="clear"/>
            <w:tcMar>
              <w:top w:type="dxa" w:w="80"/>
              <w:left w:type="dxa" w:w="100"/>
              <w:bottom w:type="dxa" w:w="80"/>
              <w:right w:type="dxa" w:w="100"/>
            </w:tcMar>
          </w:tcPr>
          <w:p>
            <w:r>
              <w:rPr>
                <w:b w:val="false"/>
                <w:bCs w:val="false"/>
                <w:color w:val="262626"/>
                <w:sz w:val="19"/>
                <w:szCs w:val="19"/>
              </w:rPr>
              <w:t xml:space="preserve">Total Bookings (after cleaning)</w:t>
            </w:r>
          </w:p>
        </w:tc>
        <w:tc>
          <w:tcPr>
            <w:tcW w:type="dxa" w:w="5000"/>
            <w:shd w:fill="F2F2F2" w:val="clear"/>
            <w:tcMar>
              <w:top w:type="dxa" w:w="80"/>
              <w:left w:type="dxa" w:w="100"/>
              <w:bottom w:type="dxa" w:w="80"/>
              <w:right w:type="dxa" w:w="100"/>
            </w:tcMar>
          </w:tcPr>
          <w:p>
            <w:r>
              <w:rPr>
                <w:b w:val="false"/>
                <w:bCs w:val="false"/>
                <w:color w:val="262626"/>
                <w:sz w:val="19"/>
                <w:szCs w:val="19"/>
              </w:rPr>
              <w:t xml:space="preserve">24,994</w:t>
            </w:r>
          </w:p>
        </w:tc>
      </w:tr>
      <w:tr>
        <w:tc>
          <w:tcPr>
            <w:tcW w:type="dxa" w:w="4500"/>
            <w:tcMar>
              <w:top w:type="dxa" w:w="80"/>
              <w:left w:type="dxa" w:w="100"/>
              <w:bottom w:type="dxa" w:w="80"/>
              <w:right w:type="dxa" w:w="100"/>
            </w:tcMar>
          </w:tcPr>
          <w:p>
            <w:r>
              <w:rPr>
                <w:b w:val="false"/>
                <w:bCs w:val="false"/>
                <w:color w:val="262626"/>
                <w:sz w:val="19"/>
                <w:szCs w:val="19"/>
              </w:rPr>
              <w:t xml:space="preserve">Duplicate Records Removed</w:t>
            </w:r>
          </w:p>
        </w:tc>
        <w:tc>
          <w:tcPr>
            <w:tcW w:type="dxa" w:w="5000"/>
            <w:tcMar>
              <w:top w:type="dxa" w:w="80"/>
              <w:left w:type="dxa" w:w="100"/>
              <w:bottom w:type="dxa" w:w="80"/>
              <w:right w:type="dxa" w:w="100"/>
            </w:tcMar>
          </w:tcPr>
          <w:p>
            <w:r>
              <w:rPr>
                <w:b w:val="false"/>
                <w:bCs w:val="false"/>
                <w:color w:val="262626"/>
                <w:sz w:val="19"/>
                <w:szCs w:val="19"/>
              </w:rPr>
              <w:t xml:space="preserve">180</w:t>
            </w:r>
          </w:p>
        </w:tc>
      </w:tr>
      <w:tr>
        <w:tc>
          <w:tcPr>
            <w:tcW w:type="dxa" w:w="4500"/>
            <w:shd w:fill="F2F2F2" w:val="clear"/>
            <w:tcMar>
              <w:top w:type="dxa" w:w="80"/>
              <w:left w:type="dxa" w:w="100"/>
              <w:bottom w:type="dxa" w:w="80"/>
              <w:right w:type="dxa" w:w="100"/>
            </w:tcMar>
          </w:tcPr>
          <w:p>
            <w:r>
              <w:rPr>
                <w:b w:val="false"/>
                <w:bCs w:val="false"/>
                <w:color w:val="262626"/>
                <w:sz w:val="19"/>
                <w:szCs w:val="19"/>
              </w:rPr>
              <w:t xml:space="preserve">Overall Cancellation Rate</w:t>
            </w:r>
          </w:p>
        </w:tc>
        <w:tc>
          <w:tcPr>
            <w:tcW w:type="dxa" w:w="5000"/>
            <w:shd w:fill="F2F2F2" w:val="clear"/>
            <w:tcMar>
              <w:top w:type="dxa" w:w="80"/>
              <w:left w:type="dxa" w:w="100"/>
              <w:bottom w:type="dxa" w:w="80"/>
              <w:right w:type="dxa" w:w="100"/>
            </w:tcMar>
          </w:tcPr>
          <w:p>
            <w:r>
              <w:rPr>
                <w:b w:val="false"/>
                <w:bCs w:val="false"/>
                <w:color w:val="262626"/>
                <w:sz w:val="19"/>
                <w:szCs w:val="19"/>
              </w:rPr>
              <w:t xml:space="preserve">72.2%</w:t>
            </w:r>
          </w:p>
        </w:tc>
      </w:tr>
      <w:tr>
        <w:tc>
          <w:tcPr>
            <w:tcW w:type="dxa" w:w="4500"/>
            <w:tcMar>
              <w:top w:type="dxa" w:w="80"/>
              <w:left w:type="dxa" w:w="100"/>
              <w:bottom w:type="dxa" w:w="80"/>
              <w:right w:type="dxa" w:w="100"/>
            </w:tcMar>
          </w:tcPr>
          <w:p>
            <w:r>
              <w:rPr>
                <w:b w:val="false"/>
                <w:bCs w:val="false"/>
                <w:color w:val="262626"/>
                <w:sz w:val="19"/>
                <w:szCs w:val="19"/>
              </w:rPr>
              <w:t xml:space="preserve">Estimated Revenue Realized</w:t>
            </w:r>
          </w:p>
        </w:tc>
        <w:tc>
          <w:tcPr>
            <w:tcW w:type="dxa" w:w="5000"/>
            <w:tcMar>
              <w:top w:type="dxa" w:w="80"/>
              <w:left w:type="dxa" w:w="100"/>
              <w:bottom w:type="dxa" w:w="80"/>
              <w:right w:type="dxa" w:w="100"/>
            </w:tcMar>
          </w:tcPr>
          <w:p>
            <w:r>
              <w:rPr>
                <w:b w:val="false"/>
                <w:bCs w:val="false"/>
                <w:color w:val="262626"/>
                <w:sz w:val="19"/>
                <w:szCs w:val="19"/>
              </w:rPr>
              <w:t xml:space="preserve">$3.78M</w:t>
            </w:r>
          </w:p>
        </w:tc>
      </w:tr>
      <w:tr>
        <w:tc>
          <w:tcPr>
            <w:tcW w:type="dxa" w:w="4500"/>
            <w:shd w:fill="F2F2F2" w:val="clear"/>
            <w:tcMar>
              <w:top w:type="dxa" w:w="80"/>
              <w:left w:type="dxa" w:w="100"/>
              <w:bottom w:type="dxa" w:w="80"/>
              <w:right w:type="dxa" w:w="100"/>
            </w:tcMar>
          </w:tcPr>
          <w:p>
            <w:r>
              <w:rPr>
                <w:b w:val="false"/>
                <w:bCs w:val="false"/>
                <w:color w:val="262626"/>
                <w:sz w:val="19"/>
                <w:szCs w:val="19"/>
              </w:rPr>
              <w:t xml:space="preserve">Estimated Revenue Lost to Cancellations</w:t>
            </w:r>
          </w:p>
        </w:tc>
        <w:tc>
          <w:tcPr>
            <w:tcW w:type="dxa" w:w="5000"/>
            <w:shd w:fill="F2F2F2" w:val="clear"/>
            <w:tcMar>
              <w:top w:type="dxa" w:w="80"/>
              <w:left w:type="dxa" w:w="100"/>
              <w:bottom w:type="dxa" w:w="80"/>
              <w:right w:type="dxa" w:w="100"/>
            </w:tcMar>
          </w:tcPr>
          <w:p>
            <w:r>
              <w:rPr>
                <w:b w:val="false"/>
                <w:bCs w:val="false"/>
                <w:color w:val="262626"/>
                <w:sz w:val="19"/>
                <w:szCs w:val="19"/>
              </w:rPr>
              <w:t xml:space="preserve">$9.60M</w:t>
            </w:r>
          </w:p>
        </w:tc>
      </w:tr>
      <w:tr>
        <w:tc>
          <w:tcPr>
            <w:tcW w:type="dxa" w:w="4500"/>
            <w:tcMar>
              <w:top w:type="dxa" w:w="80"/>
              <w:left w:type="dxa" w:w="100"/>
              <w:bottom w:type="dxa" w:w="80"/>
              <w:right w:type="dxa" w:w="100"/>
            </w:tcMar>
          </w:tcPr>
          <w:p>
            <w:r>
              <w:rPr>
                <w:b w:val="false"/>
                <w:bCs w:val="false"/>
                <w:color w:val="262626"/>
                <w:sz w:val="19"/>
                <w:szCs w:val="19"/>
              </w:rPr>
              <w:t xml:space="preserve">Hotel Types</w:t>
            </w:r>
          </w:p>
        </w:tc>
        <w:tc>
          <w:tcPr>
            <w:tcW w:type="dxa" w:w="5000"/>
            <w:tcMar>
              <w:top w:type="dxa" w:w="80"/>
              <w:left w:type="dxa" w:w="100"/>
              <w:bottom w:type="dxa" w:w="80"/>
              <w:right w:type="dxa" w:w="100"/>
            </w:tcMar>
          </w:tcPr>
          <w:p>
            <w:r>
              <w:rPr>
                <w:b w:val="false"/>
                <w:bCs w:val="false"/>
                <w:color w:val="262626"/>
                <w:sz w:val="19"/>
                <w:szCs w:val="19"/>
              </w:rPr>
              <w:t xml:space="preserve">City Hotel, Resort Hotel</w:t>
            </w:r>
          </w:p>
        </w:tc>
      </w:tr>
      <w:tr>
        <w:tc>
          <w:tcPr>
            <w:tcW w:type="dxa" w:w="4500"/>
            <w:shd w:fill="F2F2F2" w:val="clear"/>
            <w:tcMar>
              <w:top w:type="dxa" w:w="80"/>
              <w:left w:type="dxa" w:w="100"/>
              <w:bottom w:type="dxa" w:w="80"/>
              <w:right w:type="dxa" w:w="100"/>
            </w:tcMar>
          </w:tcPr>
          <w:p>
            <w:r>
              <w:rPr>
                <w:b w:val="false"/>
                <w:bCs w:val="false"/>
                <w:color w:val="262626"/>
                <w:sz w:val="19"/>
                <w:szCs w:val="19"/>
              </w:rPr>
              <w:t xml:space="preserve">Hotel Locations Covered</w:t>
            </w:r>
          </w:p>
        </w:tc>
        <w:tc>
          <w:tcPr>
            <w:tcW w:type="dxa" w:w="5000"/>
            <w:shd w:fill="F2F2F2" w:val="clear"/>
            <w:tcMar>
              <w:top w:type="dxa" w:w="80"/>
              <w:left w:type="dxa" w:w="100"/>
              <w:bottom w:type="dxa" w:w="80"/>
              <w:right w:type="dxa" w:w="100"/>
            </w:tcMar>
          </w:tcPr>
          <w:p>
            <w:r>
              <w:rPr>
                <w:b w:val="false"/>
                <w:bCs w:val="false"/>
                <w:color w:val="262626"/>
                <w:sz w:val="19"/>
                <w:szCs w:val="19"/>
              </w:rPr>
              <w:t xml:space="preserve">10 cities (London, Lisbon, Dubai, Barcelona, Amsterdam, Maldives, Algarve, Bali, Phuket, Goa)</w:t>
            </w:r>
          </w:p>
        </w:tc>
      </w:tr>
    </w:tbl>
    <w:p>
      <w:pPr>
        <w:spacing w:after="200"/>
      </w:pPr>
    </w:p>
    <w:p>
      <w:pPr>
        <w:pStyle w:val="Heading1"/>
        <w:pBdr>
          <w:bottom w:val="single" w:color="1f4e79" w:sz="6" w:space="4"/>
        </w:pBdr>
        <w:spacing w:after="160" w:before="320"/>
      </w:pPr>
      <w:r>
        <w:rPr>
          <w:b/>
          <w:bCs/>
          <w:color w:val="1f4e79"/>
          <w:sz w:val="30"/>
          <w:szCs w:val="30"/>
        </w:rPr>
        <w:t xml:space="preserve">1. Dataset Overview</w:t>
      </w:r>
    </w:p>
    <w:p>
      <w:pPr>
        <w:spacing w:after="160" w:line="300"/>
      </w:pPr>
      <w:r>
        <w:rPr>
          <w:color w:val="262626"/>
          <w:sz w:val="21"/>
          <w:szCs w:val="21"/>
        </w:rPr>
        <w:t xml:space="preserve">The raw dataset contains 25,180 records and 35 columns describing booking logistics (lead time, length of stay, room type), guest demographics (adults, children, country), commercial terms (market segment, distribution channel, ADR, deposit type), and outcomes (reservation status, cancellation flag, satisfaction score, estimated revenue).</w:t>
      </w:r>
    </w:p>
    <w:p>
      <w:pPr>
        <w:pStyle w:val="Heading2"/>
        <w:spacing w:after="120" w:before="240"/>
      </w:pPr>
      <w:r>
        <w:rPr>
          <w:b/>
          <w:bCs/>
          <w:color w:val="1f4e79"/>
          <w:sz w:val="24"/>
          <w:szCs w:val="24"/>
        </w:rPr>
        <w:t xml:space="preserve">1.1 Column Groups</w:t>
      </w:r>
    </w:p>
    <w:p>
      <w:pPr>
        <w:pStyle w:val="ListParagraph"/>
        <w:numPr>
          <w:ilvl w:val="0"/>
          <w:numId w:val="2"/>
        </w:numPr>
        <w:spacing w:after="80"/>
      </w:pPr>
      <w:r>
        <w:rPr>
          <w:color w:val="262626"/>
          <w:sz w:val="21"/>
          <w:szCs w:val="21"/>
        </w:rPr>
        <w:t xml:space="preserve">Booking logistics: Booking_Date, Arrival_Date, Lead_Time_Days, Weekend/Weekday_Nights, Total_Nights</w:t>
      </w:r>
    </w:p>
    <w:p>
      <w:pPr>
        <w:pStyle w:val="ListParagraph"/>
        <w:numPr>
          <w:ilvl w:val="0"/>
          <w:numId w:val="2"/>
        </w:numPr>
        <w:spacing w:after="80"/>
      </w:pPr>
      <w:r>
        <w:rPr>
          <w:color w:val="262626"/>
          <w:sz w:val="21"/>
          <w:szCs w:val="21"/>
        </w:rPr>
        <w:t xml:space="preserve">Guest profile: Adults, Children, Babies, Country, Is_Repeated_Guest, Customer_Type</w:t>
      </w:r>
    </w:p>
    <w:p>
      <w:pPr>
        <w:pStyle w:val="ListParagraph"/>
        <w:numPr>
          <w:ilvl w:val="0"/>
          <w:numId w:val="2"/>
        </w:numPr>
        <w:spacing w:after="80"/>
      </w:pPr>
      <w:r>
        <w:rPr>
          <w:color w:val="262626"/>
          <w:sz w:val="21"/>
          <w:szCs w:val="21"/>
        </w:rPr>
        <w:t xml:space="preserve">Commercial terms: Market_Segment, Distribution_Channel, Deposit_Type, ADR, Agent_ID, Company_ID</w:t>
      </w:r>
    </w:p>
    <w:p>
      <w:pPr>
        <w:pStyle w:val="ListParagraph"/>
        <w:numPr>
          <w:ilvl w:val="0"/>
          <w:numId w:val="2"/>
        </w:numPr>
        <w:spacing w:after="80"/>
      </w:pPr>
      <w:r>
        <w:rPr>
          <w:color w:val="262626"/>
          <w:sz w:val="21"/>
          <w:szCs w:val="21"/>
        </w:rPr>
        <w:t xml:space="preserve">Room details: Room_Type_Reserved, Room_Type_Assigned, Meal_Type, Special Requests</w:t>
      </w:r>
    </w:p>
    <w:p>
      <w:pPr>
        <w:pStyle w:val="ListParagraph"/>
        <w:numPr>
          <w:ilvl w:val="0"/>
          <w:numId w:val="2"/>
        </w:numPr>
        <w:spacing w:after="80"/>
      </w:pPr>
      <w:r>
        <w:rPr>
          <w:color w:val="262626"/>
          <w:sz w:val="21"/>
          <w:szCs w:val="21"/>
        </w:rPr>
        <w:t xml:space="preserve">Outcomes: Reservation_Status, Is_Canceled, Satisfaction_Score, Estimated_Revenue</w:t>
      </w:r>
    </w:p>
    <w:p>
      <w:pPr>
        <w:pStyle w:val="Heading1"/>
        <w:pBdr>
          <w:bottom w:val="single" w:color="1f4e79" w:sz="6" w:space="4"/>
        </w:pBdr>
        <w:spacing w:after="160" w:before="320"/>
      </w:pPr>
      <w:r>
        <w:rPr>
          <w:b/>
          <w:bCs/>
          <w:color w:val="1f4e79"/>
          <w:sz w:val="30"/>
          <w:szCs w:val="30"/>
        </w:rPr>
        <w:t xml:space="preserve">2. Data Quality Assessment</w:t>
      </w:r>
    </w:p>
    <w:p>
      <w:pPr>
        <w:spacing w:after="160" w:line="300"/>
      </w:pPr>
      <w:r>
        <w:rPr>
          <w:color w:val="262626"/>
          <w:sz w:val="21"/>
          <w:szCs w:val="21"/>
        </w:rPr>
        <w:t xml:space="preserve">Before analysis, the raw dataset was audited for missing values, duplicate records, incorrect data types, inconsistent categorical values, and outliers.</w:t>
      </w:r>
    </w:p>
    <w:p>
      <w:pPr>
        <w:pStyle w:val="Heading2"/>
        <w:spacing w:after="120" w:before="240"/>
      </w:pPr>
      <w:r>
        <w:rPr>
          <w:b/>
          <w:bCs/>
          <w:color w:val="1f4e79"/>
          <w:sz w:val="24"/>
          <w:szCs w:val="24"/>
        </w:rPr>
        <w:t xml:space="preserve">2.1 Missing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700"/>
      </w:tblGrid>
      <w:tr>
        <w:tc>
          <w:tcPr>
            <w:tcW w:type="dxa" w:w="4000"/>
            <w:shd w:fill="1f4e79" w:val="clear"/>
            <w:tcMar>
              <w:top w:type="dxa" w:w="80"/>
              <w:left w:type="dxa" w:w="100"/>
              <w:bottom w:type="dxa" w:w="80"/>
              <w:right w:type="dxa" w:w="100"/>
            </w:tcMar>
          </w:tcPr>
          <w:p>
            <w:r>
              <w:rPr>
                <w:b/>
                <w:bCs/>
                <w:color w:val="FFFFFF"/>
                <w:sz w:val="19"/>
                <w:szCs w:val="19"/>
              </w:rPr>
              <w:t xml:space="preserve">Column</w:t>
            </w:r>
          </w:p>
        </w:tc>
        <w:tc>
          <w:tcPr>
            <w:tcW w:type="dxa" w:w="2800"/>
            <w:shd w:fill="1f4e79" w:val="clear"/>
            <w:tcMar>
              <w:top w:type="dxa" w:w="80"/>
              <w:left w:type="dxa" w:w="100"/>
              <w:bottom w:type="dxa" w:w="80"/>
              <w:right w:type="dxa" w:w="100"/>
            </w:tcMar>
          </w:tcPr>
          <w:p>
            <w:r>
              <w:rPr>
                <w:b/>
                <w:bCs/>
                <w:color w:val="FFFFFF"/>
                <w:sz w:val="19"/>
                <w:szCs w:val="19"/>
              </w:rPr>
              <w:t xml:space="preserve">Missing Count</w:t>
            </w:r>
          </w:p>
        </w:tc>
        <w:tc>
          <w:tcPr>
            <w:tcW w:type="dxa" w:w="2700"/>
            <w:shd w:fill="1f4e79" w:val="clear"/>
            <w:tcMar>
              <w:top w:type="dxa" w:w="80"/>
              <w:left w:type="dxa" w:w="100"/>
              <w:bottom w:type="dxa" w:w="80"/>
              <w:right w:type="dxa" w:w="100"/>
            </w:tcMar>
          </w:tcPr>
          <w:p>
            <w:r>
              <w:rPr>
                <w:b/>
                <w:bCs/>
                <w:color w:val="FFFFFF"/>
                <w:sz w:val="19"/>
                <w:szCs w:val="19"/>
              </w:rPr>
              <w:t xml:space="preserve">Missing %</w:t>
            </w:r>
          </w:p>
        </w:tc>
      </w:tr>
      <w:tr>
        <w:tc>
          <w:tcPr>
            <w:tcW w:type="dxa" w:w="4000"/>
            <w:tcMar>
              <w:top w:type="dxa" w:w="80"/>
              <w:left w:type="dxa" w:w="100"/>
              <w:bottom w:type="dxa" w:w="80"/>
              <w:right w:type="dxa" w:w="100"/>
            </w:tcMar>
          </w:tcPr>
          <w:p>
            <w:r>
              <w:rPr>
                <w:b w:val="false"/>
                <w:bCs w:val="false"/>
                <w:color w:val="262626"/>
                <w:sz w:val="19"/>
                <w:szCs w:val="19"/>
              </w:rPr>
              <w:t xml:space="preserve">Company_ID</w:t>
            </w:r>
          </w:p>
        </w:tc>
        <w:tc>
          <w:tcPr>
            <w:tcW w:type="dxa" w:w="2800"/>
            <w:tcMar>
              <w:top w:type="dxa" w:w="80"/>
              <w:left w:type="dxa" w:w="100"/>
              <w:bottom w:type="dxa" w:w="80"/>
              <w:right w:type="dxa" w:w="100"/>
            </w:tcMar>
          </w:tcPr>
          <w:p>
            <w:r>
              <w:rPr>
                <w:b w:val="false"/>
                <w:bCs w:val="false"/>
                <w:color w:val="262626"/>
                <w:sz w:val="19"/>
                <w:szCs w:val="19"/>
              </w:rPr>
              <w:t xml:space="preserve">20,729</w:t>
            </w:r>
          </w:p>
        </w:tc>
        <w:tc>
          <w:tcPr>
            <w:tcW w:type="dxa" w:w="2700"/>
            <w:tcMar>
              <w:top w:type="dxa" w:w="80"/>
              <w:left w:type="dxa" w:w="100"/>
              <w:bottom w:type="dxa" w:w="80"/>
              <w:right w:type="dxa" w:w="100"/>
            </w:tcMar>
          </w:tcPr>
          <w:p>
            <w:r>
              <w:rPr>
                <w:b w:val="false"/>
                <w:bCs w:val="false"/>
                <w:color w:val="262626"/>
                <w:sz w:val="19"/>
                <w:szCs w:val="19"/>
              </w:rPr>
              <w:t xml:space="preserve">82.3%</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Country</w:t>
            </w:r>
          </w:p>
        </w:tc>
        <w:tc>
          <w:tcPr>
            <w:tcW w:type="dxa" w:w="2800"/>
            <w:shd w:fill="F2F2F2" w:val="clear"/>
            <w:tcMar>
              <w:top w:type="dxa" w:w="80"/>
              <w:left w:type="dxa" w:w="100"/>
              <w:bottom w:type="dxa" w:w="80"/>
              <w:right w:type="dxa" w:w="100"/>
            </w:tcMar>
          </w:tcPr>
          <w:p>
            <w:r>
              <w:rPr>
                <w:b w:val="false"/>
                <w:bCs w:val="false"/>
                <w:color w:val="262626"/>
                <w:sz w:val="19"/>
                <w:szCs w:val="19"/>
              </w:rPr>
              <w:t xml:space="preserve">466</w:t>
            </w:r>
          </w:p>
        </w:tc>
        <w:tc>
          <w:tcPr>
            <w:tcW w:type="dxa" w:w="2700"/>
            <w:shd w:fill="F2F2F2" w:val="clear"/>
            <w:tcMar>
              <w:top w:type="dxa" w:w="80"/>
              <w:left w:type="dxa" w:w="100"/>
              <w:bottom w:type="dxa" w:w="80"/>
              <w:right w:type="dxa" w:w="100"/>
            </w:tcMar>
          </w:tcPr>
          <w:p>
            <w:r>
              <w:rPr>
                <w:b w:val="false"/>
                <w:bCs w:val="false"/>
                <w:color w:val="262626"/>
                <w:sz w:val="19"/>
                <w:szCs w:val="19"/>
              </w:rPr>
              <w:t xml:space="preserve">1.9%</w:t>
            </w:r>
          </w:p>
        </w:tc>
      </w:tr>
      <w:tr>
        <w:tc>
          <w:tcPr>
            <w:tcW w:type="dxa" w:w="4000"/>
            <w:tcMar>
              <w:top w:type="dxa" w:w="80"/>
              <w:left w:type="dxa" w:w="100"/>
              <w:bottom w:type="dxa" w:w="80"/>
              <w:right w:type="dxa" w:w="100"/>
            </w:tcMar>
          </w:tcPr>
          <w:p>
            <w:r>
              <w:rPr>
                <w:b w:val="false"/>
                <w:bCs w:val="false"/>
                <w:color w:val="262626"/>
                <w:sz w:val="19"/>
                <w:szCs w:val="19"/>
              </w:rPr>
              <w:t xml:space="preserve">Meal_Type</w:t>
            </w:r>
          </w:p>
        </w:tc>
        <w:tc>
          <w:tcPr>
            <w:tcW w:type="dxa" w:w="2800"/>
            <w:tcMar>
              <w:top w:type="dxa" w:w="80"/>
              <w:left w:type="dxa" w:w="100"/>
              <w:bottom w:type="dxa" w:w="80"/>
              <w:right w:type="dxa" w:w="100"/>
            </w:tcMar>
          </w:tcPr>
          <w:p>
            <w:r>
              <w:rPr>
                <w:b w:val="false"/>
                <w:bCs w:val="false"/>
                <w:color w:val="262626"/>
                <w:sz w:val="19"/>
                <w:szCs w:val="19"/>
              </w:rPr>
              <w:t xml:space="preserve">245</w:t>
            </w:r>
          </w:p>
        </w:tc>
        <w:tc>
          <w:tcPr>
            <w:tcW w:type="dxa" w:w="2700"/>
            <w:tcMar>
              <w:top w:type="dxa" w:w="80"/>
              <w:left w:type="dxa" w:w="100"/>
              <w:bottom w:type="dxa" w:w="80"/>
              <w:right w:type="dxa" w:w="100"/>
            </w:tcMar>
          </w:tcPr>
          <w:p>
            <w:r>
              <w:rPr>
                <w:b w:val="false"/>
                <w:bCs w:val="false"/>
                <w:color w:val="262626"/>
                <w:sz w:val="19"/>
                <w:szCs w:val="19"/>
              </w:rPr>
              <w:t xml:space="preserve">1.0%</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Agent_ID</w:t>
            </w:r>
          </w:p>
        </w:tc>
        <w:tc>
          <w:tcPr>
            <w:tcW w:type="dxa" w:w="2800"/>
            <w:shd w:fill="F2F2F2" w:val="clear"/>
            <w:tcMar>
              <w:top w:type="dxa" w:w="80"/>
              <w:left w:type="dxa" w:w="100"/>
              <w:bottom w:type="dxa" w:w="80"/>
              <w:right w:type="dxa" w:w="100"/>
            </w:tcMar>
          </w:tcPr>
          <w:p>
            <w:r>
              <w:rPr>
                <w:b w:val="false"/>
                <w:bCs w:val="false"/>
                <w:color w:val="262626"/>
                <w:sz w:val="19"/>
                <w:szCs w:val="19"/>
              </w:rPr>
              <w:t xml:space="preserve">304</w:t>
            </w:r>
          </w:p>
        </w:tc>
        <w:tc>
          <w:tcPr>
            <w:tcW w:type="dxa" w:w="2700"/>
            <w:shd w:fill="F2F2F2" w:val="clear"/>
            <w:tcMar>
              <w:top w:type="dxa" w:w="80"/>
              <w:left w:type="dxa" w:w="100"/>
              <w:bottom w:type="dxa" w:w="80"/>
              <w:right w:type="dxa" w:w="100"/>
            </w:tcMar>
          </w:tcPr>
          <w:p>
            <w:r>
              <w:rPr>
                <w:b w:val="false"/>
                <w:bCs w:val="false"/>
                <w:color w:val="262626"/>
                <w:sz w:val="19"/>
                <w:szCs w:val="19"/>
              </w:rPr>
              <w:t xml:space="preserve">1.2%</w:t>
            </w:r>
          </w:p>
        </w:tc>
      </w:tr>
      <w:tr>
        <w:tc>
          <w:tcPr>
            <w:tcW w:type="dxa" w:w="4000"/>
            <w:tcMar>
              <w:top w:type="dxa" w:w="80"/>
              <w:left w:type="dxa" w:w="100"/>
              <w:bottom w:type="dxa" w:w="80"/>
              <w:right w:type="dxa" w:w="100"/>
            </w:tcMar>
          </w:tcPr>
          <w:p>
            <w:r>
              <w:rPr>
                <w:b w:val="false"/>
                <w:bCs w:val="false"/>
                <w:color w:val="262626"/>
                <w:sz w:val="19"/>
                <w:szCs w:val="19"/>
              </w:rPr>
              <w:t xml:space="preserve">Satisfaction_Score</w:t>
            </w:r>
          </w:p>
        </w:tc>
        <w:tc>
          <w:tcPr>
            <w:tcW w:type="dxa" w:w="2800"/>
            <w:tcMar>
              <w:top w:type="dxa" w:w="80"/>
              <w:left w:type="dxa" w:w="100"/>
              <w:bottom w:type="dxa" w:w="80"/>
              <w:right w:type="dxa" w:w="100"/>
            </w:tcMar>
          </w:tcPr>
          <w:p>
            <w:r>
              <w:rPr>
                <w:b w:val="false"/>
                <w:bCs w:val="false"/>
                <w:color w:val="262626"/>
                <w:sz w:val="19"/>
                <w:szCs w:val="19"/>
              </w:rPr>
              <w:t xml:space="preserve">164</w:t>
            </w:r>
          </w:p>
        </w:tc>
        <w:tc>
          <w:tcPr>
            <w:tcW w:type="dxa" w:w="2700"/>
            <w:tcMar>
              <w:top w:type="dxa" w:w="80"/>
              <w:left w:type="dxa" w:w="100"/>
              <w:bottom w:type="dxa" w:w="80"/>
              <w:right w:type="dxa" w:w="100"/>
            </w:tcMar>
          </w:tcPr>
          <w:p>
            <w:r>
              <w:rPr>
                <w:b w:val="false"/>
                <w:bCs w:val="false"/>
                <w:color w:val="262626"/>
                <w:sz w:val="19"/>
                <w:szCs w:val="19"/>
              </w:rPr>
              <w:t xml:space="preserve">0.7%</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Children</w:t>
            </w:r>
          </w:p>
        </w:tc>
        <w:tc>
          <w:tcPr>
            <w:tcW w:type="dxa" w:w="2800"/>
            <w:shd w:fill="F2F2F2" w:val="clear"/>
            <w:tcMar>
              <w:top w:type="dxa" w:w="80"/>
              <w:left w:type="dxa" w:w="100"/>
              <w:bottom w:type="dxa" w:w="80"/>
              <w:right w:type="dxa" w:w="100"/>
            </w:tcMar>
          </w:tcPr>
          <w:p>
            <w:r>
              <w:rPr>
                <w:b w:val="false"/>
                <w:bCs w:val="false"/>
                <w:color w:val="262626"/>
                <w:sz w:val="19"/>
                <w:szCs w:val="19"/>
              </w:rPr>
              <w:t xml:space="preserve">121</w:t>
            </w:r>
          </w:p>
        </w:tc>
        <w:tc>
          <w:tcPr>
            <w:tcW w:type="dxa" w:w="2700"/>
            <w:shd w:fill="F2F2F2" w:val="clear"/>
            <w:tcMar>
              <w:top w:type="dxa" w:w="80"/>
              <w:left w:type="dxa" w:w="100"/>
              <w:bottom w:type="dxa" w:w="80"/>
              <w:right w:type="dxa" w:w="100"/>
            </w:tcMar>
          </w:tcPr>
          <w:p>
            <w:r>
              <w:rPr>
                <w:b w:val="false"/>
                <w:bCs w:val="false"/>
                <w:color w:val="262626"/>
                <w:sz w:val="19"/>
                <w:szCs w:val="19"/>
              </w:rPr>
              <w:t xml:space="preserve">0.5%</w:t>
            </w:r>
          </w:p>
        </w:tc>
      </w:tr>
      <w:tr>
        <w:tc>
          <w:tcPr>
            <w:tcW w:type="dxa" w:w="4000"/>
            <w:tcMar>
              <w:top w:type="dxa" w:w="80"/>
              <w:left w:type="dxa" w:w="100"/>
              <w:bottom w:type="dxa" w:w="80"/>
              <w:right w:type="dxa" w:w="100"/>
            </w:tcMar>
          </w:tcPr>
          <w:p>
            <w:r>
              <w:rPr>
                <w:b w:val="false"/>
                <w:bCs w:val="false"/>
                <w:color w:val="262626"/>
                <w:sz w:val="19"/>
                <w:szCs w:val="19"/>
              </w:rPr>
              <w:t xml:space="preserve">Hotel_Location</w:t>
            </w:r>
          </w:p>
        </w:tc>
        <w:tc>
          <w:tcPr>
            <w:tcW w:type="dxa" w:w="2800"/>
            <w:tcMar>
              <w:top w:type="dxa" w:w="80"/>
              <w:left w:type="dxa" w:w="100"/>
              <w:bottom w:type="dxa" w:w="80"/>
              <w:right w:type="dxa" w:w="100"/>
            </w:tcMar>
          </w:tcPr>
          <w:p>
            <w:r>
              <w:rPr>
                <w:b w:val="false"/>
                <w:bCs w:val="false"/>
                <w:color w:val="262626"/>
                <w:sz w:val="19"/>
                <w:szCs w:val="19"/>
              </w:rPr>
              <w:t xml:space="preserve">106</w:t>
            </w:r>
          </w:p>
        </w:tc>
        <w:tc>
          <w:tcPr>
            <w:tcW w:type="dxa" w:w="2700"/>
            <w:tcMar>
              <w:top w:type="dxa" w:w="80"/>
              <w:left w:type="dxa" w:w="100"/>
              <w:bottom w:type="dxa" w:w="80"/>
              <w:right w:type="dxa" w:w="100"/>
            </w:tcMar>
          </w:tcPr>
          <w:p>
            <w:r>
              <w:rPr>
                <w:b w:val="false"/>
                <w:bCs w:val="false"/>
                <w:color w:val="262626"/>
                <w:sz w:val="19"/>
                <w:szCs w:val="19"/>
              </w:rPr>
              <w:t xml:space="preserve">0.4%</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ADR</w:t>
            </w:r>
          </w:p>
        </w:tc>
        <w:tc>
          <w:tcPr>
            <w:tcW w:type="dxa" w:w="2800"/>
            <w:shd w:fill="F2F2F2" w:val="clear"/>
            <w:tcMar>
              <w:top w:type="dxa" w:w="80"/>
              <w:left w:type="dxa" w:w="100"/>
              <w:bottom w:type="dxa" w:w="80"/>
              <w:right w:type="dxa" w:w="100"/>
            </w:tcMar>
          </w:tcPr>
          <w:p>
            <w:r>
              <w:rPr>
                <w:b w:val="false"/>
                <w:bCs w:val="false"/>
                <w:color w:val="262626"/>
                <w:sz w:val="19"/>
                <w:szCs w:val="19"/>
              </w:rPr>
              <w:t xml:space="preserve">82</w:t>
            </w:r>
          </w:p>
        </w:tc>
        <w:tc>
          <w:tcPr>
            <w:tcW w:type="dxa" w:w="2700"/>
            <w:shd w:fill="F2F2F2" w:val="clear"/>
            <w:tcMar>
              <w:top w:type="dxa" w:w="80"/>
              <w:left w:type="dxa" w:w="100"/>
              <w:bottom w:type="dxa" w:w="80"/>
              <w:right w:type="dxa" w:w="100"/>
            </w:tcMar>
          </w:tcPr>
          <w:p>
            <w:r>
              <w:rPr>
                <w:b w:val="false"/>
                <w:bCs w:val="false"/>
                <w:color w:val="262626"/>
                <w:sz w:val="19"/>
                <w:szCs w:val="19"/>
              </w:rPr>
              <w:t xml:space="preserve">0.3%</w:t>
            </w:r>
          </w:p>
        </w:tc>
      </w:tr>
    </w:tbl>
    <w:p>
      <w:pPr>
        <w:spacing w:after="200"/>
      </w:pPr>
    </w:p>
    <w:p>
      <w:pPr>
        <w:spacing w:after="160" w:line="300"/>
      </w:pPr>
      <w:r>
        <w:rPr>
          <w:color w:val="262626"/>
          <w:sz w:val="21"/>
          <w:szCs w:val="21"/>
        </w:rPr>
        <w:t xml:space="preserve">Company_ID is missing for 82.3% of bookings — this is expected, as it applies only to corporate accounts, and was treated as "no company" rather than deleted.</w:t>
      </w:r>
    </w:p>
    <w:p>
      <w:pPr>
        <w:pStyle w:val="Heading2"/>
        <w:spacing w:after="120" w:before="240"/>
      </w:pPr>
      <w:r>
        <w:rPr>
          <w:b/>
          <w:bCs/>
          <w:color w:val="1f4e79"/>
          <w:sz w:val="24"/>
          <w:szCs w:val="24"/>
        </w:rPr>
        <w:t xml:space="preserve">2.2 Duplicates &amp; Logical Errors</w:t>
      </w:r>
    </w:p>
    <w:p>
      <w:pPr>
        <w:pStyle w:val="ListParagraph"/>
        <w:numPr>
          <w:ilvl w:val="0"/>
          <w:numId w:val="2"/>
        </w:numPr>
        <w:spacing w:after="80"/>
      </w:pPr>
      <w:r>
        <w:rPr>
          <w:color w:val="262626"/>
          <w:sz w:val="21"/>
          <w:szCs w:val="21"/>
        </w:rPr>
        <w:t xml:space="preserve">180 fully duplicated rows (identical across all 35 fields) were identified and removed.</w:t>
      </w:r>
    </w:p>
    <w:p>
      <w:pPr>
        <w:pStyle w:val="ListParagraph"/>
        <w:numPr>
          <w:ilvl w:val="0"/>
          <w:numId w:val="2"/>
        </w:numPr>
        <w:spacing w:after="80"/>
      </w:pPr>
      <w:r>
        <w:rPr>
          <w:color w:val="262626"/>
          <w:sz w:val="21"/>
          <w:szCs w:val="21"/>
        </w:rPr>
        <w:t xml:space="preserve">6 rows recorded an Arrival_Date earlier than the Booking_Date — a logical impossibility — and were removed.</w:t>
      </w:r>
    </w:p>
    <w:p>
      <w:pPr>
        <w:pStyle w:val="ListParagraph"/>
        <w:numPr>
          <w:ilvl w:val="0"/>
          <w:numId w:val="2"/>
        </w:numPr>
        <w:spacing w:after="80"/>
      </w:pPr>
      <w:r>
        <w:rPr>
          <w:color w:val="262626"/>
          <w:sz w:val="21"/>
          <w:szCs w:val="21"/>
        </w:rPr>
        <w:t xml:space="preserve">2 Satisfaction_Score values fell outside the valid 1–5 scale and were clipped back into range.</w:t>
      </w:r>
    </w:p>
    <w:p>
      <w:pPr>
        <w:pStyle w:val="Heading2"/>
        <w:spacing w:after="120" w:before="240"/>
      </w:pPr>
      <w:r>
        <w:rPr>
          <w:b/>
          <w:bCs/>
          <w:color w:val="1f4e79"/>
          <w:sz w:val="24"/>
          <w:szCs w:val="24"/>
        </w:rPr>
        <w:t xml:space="preserve">2.3 Inconsistent Categorical Values</w:t>
      </w:r>
    </w:p>
    <w:p>
      <w:pPr>
        <w:pStyle w:val="ListParagraph"/>
        <w:numPr>
          <w:ilvl w:val="0"/>
          <w:numId w:val="2"/>
        </w:numPr>
        <w:spacing w:after="80"/>
      </w:pPr>
      <w:r>
        <w:rPr>
          <w:color w:val="262626"/>
          <w:sz w:val="21"/>
          <w:szCs w:val="21"/>
        </w:rPr>
        <w:t xml:space="preserve">Hotel_Type appeared in 5 variants of the same 2 categories (e.g. 'City Hotel', 'CITY HOTEL', 'city hotel').</w:t>
      </w:r>
    </w:p>
    <w:p>
      <w:pPr>
        <w:pStyle w:val="ListParagraph"/>
        <w:numPr>
          <w:ilvl w:val="0"/>
          <w:numId w:val="2"/>
        </w:numPr>
        <w:spacing w:after="80"/>
      </w:pPr>
      <w:r>
        <w:rPr>
          <w:color w:val="262626"/>
          <w:sz w:val="21"/>
          <w:szCs w:val="21"/>
        </w:rPr>
        <w:t xml:space="preserve">Market_Segment contained case/spacing variants of 'Online TA' (e.g. 'online ta', 'ONLINE TA', 'Online TA ').</w:t>
      </w:r>
    </w:p>
    <w:p>
      <w:pPr>
        <w:pStyle w:val="ListParagraph"/>
        <w:numPr>
          <w:ilvl w:val="0"/>
          <w:numId w:val="2"/>
        </w:numPr>
        <w:spacing w:after="80"/>
      </w:pPr>
      <w:r>
        <w:rPr>
          <w:color w:val="262626"/>
          <w:sz w:val="21"/>
          <w:szCs w:val="21"/>
        </w:rPr>
        <w:t xml:space="preserve">Meal_Type mixed valid codes with 'Undefined', 'Unknown', and inconsistent casing ('bb', 'BB ', ' B&amp;B ').</w:t>
      </w:r>
    </w:p>
    <w:p>
      <w:pPr>
        <w:pStyle w:val="ListParagraph"/>
        <w:numPr>
          <w:ilvl w:val="0"/>
          <w:numId w:val="2"/>
        </w:numPr>
        <w:spacing w:after="80"/>
      </w:pPr>
      <w:r>
        <w:rPr>
          <w:color w:val="262626"/>
          <w:sz w:val="21"/>
          <w:szCs w:val="21"/>
        </w:rPr>
        <w:t xml:space="preserve">All of the above were standardized to a single consistent label per category.</w:t>
      </w:r>
    </w:p>
    <w:p>
      <w:pPr>
        <w:pStyle w:val="Heading2"/>
        <w:spacing w:after="120" w:before="240"/>
      </w:pPr>
      <w:r>
        <w:rPr>
          <w:b/>
          <w:bCs/>
          <w:color w:val="1f4e79"/>
          <w:sz w:val="24"/>
          <w:szCs w:val="24"/>
        </w:rPr>
        <w:t xml:space="preserve">2.4 Outliers (IQR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c>
          <w:tcPr>
            <w:tcW w:type="dxa" w:w="4000"/>
            <w:shd w:fill="1f4e79" w:val="clear"/>
            <w:tcMar>
              <w:top w:type="dxa" w:w="80"/>
              <w:left w:type="dxa" w:w="100"/>
              <w:bottom w:type="dxa" w:w="80"/>
              <w:right w:type="dxa" w:w="100"/>
            </w:tcMar>
          </w:tcPr>
          <w:p>
            <w:r>
              <w:rPr>
                <w:b/>
                <w:bCs/>
                <w:color w:val="FFFFFF"/>
                <w:sz w:val="19"/>
                <w:szCs w:val="19"/>
              </w:rPr>
              <w:t xml:space="preserve">Field</w:t>
            </w:r>
          </w:p>
        </w:tc>
        <w:tc>
          <w:tcPr>
            <w:tcW w:type="dxa" w:w="3000"/>
            <w:shd w:fill="1f4e79" w:val="clear"/>
            <w:tcMar>
              <w:top w:type="dxa" w:w="80"/>
              <w:left w:type="dxa" w:w="100"/>
              <w:bottom w:type="dxa" w:w="80"/>
              <w:right w:type="dxa" w:w="100"/>
            </w:tcMar>
          </w:tcPr>
          <w:p>
            <w:r>
              <w:rPr>
                <w:b/>
                <w:bCs/>
                <w:color w:val="FFFFFF"/>
                <w:sz w:val="19"/>
                <w:szCs w:val="19"/>
              </w:rPr>
              <w:t xml:space="preserve">Outliers Found</w:t>
            </w:r>
          </w:p>
        </w:tc>
        <w:tc>
          <w:tcPr>
            <w:tcW w:type="dxa" w:w="2500"/>
            <w:shd w:fill="1f4e79" w:val="clear"/>
            <w:tcMar>
              <w:top w:type="dxa" w:w="80"/>
              <w:left w:type="dxa" w:w="100"/>
              <w:bottom w:type="dxa" w:w="80"/>
              <w:right w:type="dxa" w:w="100"/>
            </w:tcMar>
          </w:tcPr>
          <w:p>
            <w:r>
              <w:rPr>
                <w:b/>
                <w:bCs/>
                <w:color w:val="FFFFFF"/>
                <w:sz w:val="19"/>
                <w:szCs w:val="19"/>
              </w:rPr>
              <w:t xml:space="preserve">% of Records</w:t>
            </w:r>
          </w:p>
        </w:tc>
      </w:tr>
      <w:tr>
        <w:tc>
          <w:tcPr>
            <w:tcW w:type="dxa" w:w="4000"/>
            <w:tcMar>
              <w:top w:type="dxa" w:w="80"/>
              <w:left w:type="dxa" w:w="100"/>
              <w:bottom w:type="dxa" w:w="80"/>
              <w:right w:type="dxa" w:w="100"/>
            </w:tcMar>
          </w:tcPr>
          <w:p>
            <w:r>
              <w:rPr>
                <w:b w:val="false"/>
                <w:bCs w:val="false"/>
                <w:color w:val="262626"/>
                <w:sz w:val="19"/>
                <w:szCs w:val="19"/>
              </w:rPr>
              <w:t xml:space="preserve">ADR</w:t>
            </w:r>
          </w:p>
        </w:tc>
        <w:tc>
          <w:tcPr>
            <w:tcW w:type="dxa" w:w="3000"/>
            <w:tcMar>
              <w:top w:type="dxa" w:w="80"/>
              <w:left w:type="dxa" w:w="100"/>
              <w:bottom w:type="dxa" w:w="80"/>
              <w:right w:type="dxa" w:w="100"/>
            </w:tcMar>
          </w:tcPr>
          <w:p>
            <w:r>
              <w:rPr>
                <w:b w:val="false"/>
                <w:bCs w:val="false"/>
                <w:color w:val="262626"/>
                <w:sz w:val="19"/>
                <w:szCs w:val="19"/>
              </w:rPr>
              <w:t xml:space="preserve">360</w:t>
            </w:r>
          </w:p>
        </w:tc>
        <w:tc>
          <w:tcPr>
            <w:tcW w:type="dxa" w:w="2500"/>
            <w:tcMar>
              <w:top w:type="dxa" w:w="80"/>
              <w:left w:type="dxa" w:w="100"/>
              <w:bottom w:type="dxa" w:w="80"/>
              <w:right w:type="dxa" w:w="100"/>
            </w:tcMar>
          </w:tcPr>
          <w:p>
            <w:r>
              <w:rPr>
                <w:b w:val="false"/>
                <w:bCs w:val="false"/>
                <w:color w:val="262626"/>
                <w:sz w:val="19"/>
                <w:szCs w:val="19"/>
              </w:rPr>
              <w:t xml:space="preserve">1.4%</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Total_Nights</w:t>
            </w:r>
          </w:p>
        </w:tc>
        <w:tc>
          <w:tcPr>
            <w:tcW w:type="dxa" w:w="3000"/>
            <w:shd w:fill="F2F2F2" w:val="clear"/>
            <w:tcMar>
              <w:top w:type="dxa" w:w="80"/>
              <w:left w:type="dxa" w:w="100"/>
              <w:bottom w:type="dxa" w:w="80"/>
              <w:right w:type="dxa" w:w="100"/>
            </w:tcMar>
          </w:tcPr>
          <w:p>
            <w:r>
              <w:rPr>
                <w:b w:val="false"/>
                <w:bCs w:val="false"/>
                <w:color w:val="262626"/>
                <w:sz w:val="19"/>
                <w:szCs w:val="19"/>
              </w:rPr>
              <w:t xml:space="preserve">136</w:t>
            </w:r>
          </w:p>
        </w:tc>
        <w:tc>
          <w:tcPr>
            <w:tcW w:type="dxa" w:w="2500"/>
            <w:shd w:fill="F2F2F2" w:val="clear"/>
            <w:tcMar>
              <w:top w:type="dxa" w:w="80"/>
              <w:left w:type="dxa" w:w="100"/>
              <w:bottom w:type="dxa" w:w="80"/>
              <w:right w:type="dxa" w:w="100"/>
            </w:tcMar>
          </w:tcPr>
          <w:p>
            <w:r>
              <w:rPr>
                <w:b w:val="false"/>
                <w:bCs w:val="false"/>
                <w:color w:val="262626"/>
                <w:sz w:val="19"/>
                <w:szCs w:val="19"/>
              </w:rPr>
              <w:t xml:space="preserve">0.5%</w:t>
            </w:r>
          </w:p>
        </w:tc>
      </w:tr>
      <w:tr>
        <w:tc>
          <w:tcPr>
            <w:tcW w:type="dxa" w:w="4000"/>
            <w:tcMar>
              <w:top w:type="dxa" w:w="80"/>
              <w:left w:type="dxa" w:w="100"/>
              <w:bottom w:type="dxa" w:w="80"/>
              <w:right w:type="dxa" w:w="100"/>
            </w:tcMar>
          </w:tcPr>
          <w:p>
            <w:r>
              <w:rPr>
                <w:b w:val="false"/>
                <w:bCs w:val="false"/>
                <w:color w:val="262626"/>
                <w:sz w:val="19"/>
                <w:szCs w:val="19"/>
              </w:rPr>
              <w:t xml:space="preserve">Estimated_Revenue</w:t>
            </w:r>
          </w:p>
        </w:tc>
        <w:tc>
          <w:tcPr>
            <w:tcW w:type="dxa" w:w="3000"/>
            <w:tcMar>
              <w:top w:type="dxa" w:w="80"/>
              <w:left w:type="dxa" w:w="100"/>
              <w:bottom w:type="dxa" w:w="80"/>
              <w:right w:type="dxa" w:w="100"/>
            </w:tcMar>
          </w:tcPr>
          <w:p>
            <w:r>
              <w:rPr>
                <w:b w:val="false"/>
                <w:bCs w:val="false"/>
                <w:color w:val="262626"/>
                <w:sz w:val="19"/>
                <w:szCs w:val="19"/>
              </w:rPr>
              <w:t xml:space="preserve">652</w:t>
            </w:r>
          </w:p>
        </w:tc>
        <w:tc>
          <w:tcPr>
            <w:tcW w:type="dxa" w:w="2500"/>
            <w:tcMar>
              <w:top w:type="dxa" w:w="80"/>
              <w:left w:type="dxa" w:w="100"/>
              <w:bottom w:type="dxa" w:w="80"/>
              <w:right w:type="dxa" w:w="100"/>
            </w:tcMar>
          </w:tcPr>
          <w:p>
            <w:r>
              <w:rPr>
                <w:b w:val="false"/>
                <w:bCs w:val="false"/>
                <w:color w:val="262626"/>
                <w:sz w:val="19"/>
                <w:szCs w:val="19"/>
              </w:rPr>
              <w:t xml:space="preserve">2.6%</w:t>
            </w:r>
          </w:p>
        </w:tc>
      </w:tr>
      <w:tr>
        <w:tc>
          <w:tcPr>
            <w:tcW w:type="dxa" w:w="4000"/>
            <w:shd w:fill="F2F2F2" w:val="clear"/>
            <w:tcMar>
              <w:top w:type="dxa" w:w="80"/>
              <w:left w:type="dxa" w:w="100"/>
              <w:bottom w:type="dxa" w:w="80"/>
              <w:right w:type="dxa" w:w="100"/>
            </w:tcMar>
          </w:tcPr>
          <w:p>
            <w:r>
              <w:rPr>
                <w:b w:val="false"/>
                <w:bCs w:val="false"/>
                <w:color w:val="262626"/>
                <w:sz w:val="19"/>
                <w:szCs w:val="19"/>
              </w:rPr>
              <w:t xml:space="preserve">Lead_Time_Days</w:t>
            </w:r>
          </w:p>
        </w:tc>
        <w:tc>
          <w:tcPr>
            <w:tcW w:type="dxa" w:w="3000"/>
            <w:shd w:fill="F2F2F2" w:val="clear"/>
            <w:tcMar>
              <w:top w:type="dxa" w:w="80"/>
              <w:left w:type="dxa" w:w="100"/>
              <w:bottom w:type="dxa" w:w="80"/>
              <w:right w:type="dxa" w:w="100"/>
            </w:tcMar>
          </w:tcPr>
          <w:p>
            <w:r>
              <w:rPr>
                <w:b w:val="false"/>
                <w:bCs w:val="false"/>
                <w:color w:val="262626"/>
                <w:sz w:val="19"/>
                <w:szCs w:val="19"/>
              </w:rPr>
              <w:t xml:space="preserve">2</w:t>
            </w:r>
          </w:p>
        </w:tc>
        <w:tc>
          <w:tcPr>
            <w:tcW w:type="dxa" w:w="2500"/>
            <w:shd w:fill="F2F2F2" w:val="clear"/>
            <w:tcMar>
              <w:top w:type="dxa" w:w="80"/>
              <w:left w:type="dxa" w:w="100"/>
              <w:bottom w:type="dxa" w:w="80"/>
              <w:right w:type="dxa" w:w="100"/>
            </w:tcMar>
          </w:tcPr>
          <w:p>
            <w:r>
              <w:rPr>
                <w:b w:val="false"/>
                <w:bCs w:val="false"/>
                <w:color w:val="262626"/>
                <w:sz w:val="19"/>
                <w:szCs w:val="19"/>
              </w:rPr>
              <w:t xml:space="preserve">0.0%</w:t>
            </w:r>
          </w:p>
        </w:tc>
      </w:tr>
    </w:tbl>
    <w:p>
      <w:pPr>
        <w:spacing w:after="160"/>
      </w:pPr>
    </w:p>
    <w:p>
      <w:pPr>
        <w:spacing w:after="160" w:line="300"/>
      </w:pPr>
      <w:r>
        <w:rPr>
          <w:color w:val="262626"/>
          <w:sz w:val="21"/>
          <w:szCs w:val="21"/>
        </w:rPr>
        <w:t xml:space="preserve">Outliers were retained rather than removed, as they reflect legitimate long-stay / high-rate bookings rather than data errors; they were noted for awareness in downstream modeling.</w:t>
      </w:r>
    </w:p>
    <w:p>
      <w:pPr>
        <w:pStyle w:val="Heading1"/>
        <w:pBdr>
          <w:bottom w:val="single" w:color="1f4e79" w:sz="6" w:space="4"/>
        </w:pBdr>
        <w:spacing w:after="160" w:before="320"/>
      </w:pPr>
      <w:r>
        <w:rPr>
          <w:b/>
          <w:bCs/>
          <w:color w:val="1f4e79"/>
          <w:sz w:val="30"/>
          <w:szCs w:val="30"/>
        </w:rPr>
        <w:t xml:space="preserve">3. Data Cleaning &amp; Preprocessing Summary</w:t>
      </w:r>
    </w:p>
    <w:p>
      <w:pPr>
        <w:pStyle w:val="ListParagraph"/>
        <w:numPr>
          <w:ilvl w:val="0"/>
          <w:numId w:val="3"/>
        </w:numPr>
        <w:spacing w:after="140"/>
      </w:pPr>
      <w:r>
        <w:rPr>
          <w:color w:val="262626"/>
          <w:sz w:val="21"/>
          <w:szCs w:val="21"/>
        </w:rPr>
        <w:t xml:space="preserve">Removed 180 exact duplicate records.</w:t>
      </w:r>
    </w:p>
    <w:p>
      <w:pPr>
        <w:pStyle w:val="ListParagraph"/>
        <w:numPr>
          <w:ilvl w:val="0"/>
          <w:numId w:val="3"/>
        </w:numPr>
        <w:spacing w:after="140"/>
      </w:pPr>
      <w:r>
        <w:rPr>
          <w:color w:val="262626"/>
          <w:sz w:val="21"/>
          <w:szCs w:val="21"/>
        </w:rPr>
        <w:t xml:space="preserve">Removed 6 records with an arrival date earlier than the booking date.</w:t>
      </w:r>
    </w:p>
    <w:p>
      <w:pPr>
        <w:pStyle w:val="ListParagraph"/>
        <w:numPr>
          <w:ilvl w:val="0"/>
          <w:numId w:val="3"/>
        </w:numPr>
        <w:spacing w:after="140"/>
      </w:pPr>
      <w:r>
        <w:rPr>
          <w:color w:val="262626"/>
          <w:sz w:val="21"/>
          <w:szCs w:val="21"/>
        </w:rPr>
        <w:t xml:space="preserve">Standardized casing and whitespace in Hotel_Type, Market_Segment, and Meal_Type.</w:t>
      </w:r>
    </w:p>
    <w:p>
      <w:pPr>
        <w:pStyle w:val="ListParagraph"/>
        <w:numPr>
          <w:ilvl w:val="0"/>
          <w:numId w:val="3"/>
        </w:numPr>
        <w:spacing w:after="140"/>
      </w:pPr>
      <w:r>
        <w:rPr>
          <w:color w:val="262626"/>
          <w:sz w:val="21"/>
          <w:szCs w:val="21"/>
        </w:rPr>
        <w:t xml:space="preserve">Converted Booking_Date, Arrival_Date, and Reservation_Status_Date to proper datetime types.</w:t>
      </w:r>
    </w:p>
    <w:p>
      <w:pPr>
        <w:pStyle w:val="ListParagraph"/>
        <w:numPr>
          <w:ilvl w:val="0"/>
          <w:numId w:val="3"/>
        </w:numPr>
        <w:spacing w:after="140"/>
      </w:pPr>
      <w:r>
        <w:rPr>
          <w:color w:val="262626"/>
          <w:sz w:val="21"/>
          <w:szCs w:val="21"/>
        </w:rPr>
        <w:t xml:space="preserve">Imputed missing Children as 0, missing Country/Hotel_Location/Meal_Type as 'Unknown', and missing ADR / Satisfaction_Score with the column median.</w:t>
      </w:r>
    </w:p>
    <w:p>
      <w:pPr>
        <w:pStyle w:val="ListParagraph"/>
        <w:numPr>
          <w:ilvl w:val="0"/>
          <w:numId w:val="3"/>
        </w:numPr>
        <w:spacing w:after="140"/>
      </w:pPr>
      <w:r>
        <w:rPr>
          <w:color w:val="262626"/>
          <w:sz w:val="21"/>
          <w:szCs w:val="21"/>
        </w:rPr>
        <w:t xml:space="preserve">Flagged missing Agent_ID / Company_ID as binary Has_Agent / Has_Company indicators instead of deleting rows.</w:t>
      </w:r>
    </w:p>
    <w:p>
      <w:pPr>
        <w:pStyle w:val="ListParagraph"/>
        <w:numPr>
          <w:ilvl w:val="0"/>
          <w:numId w:val="3"/>
        </w:numPr>
        <w:spacing w:after="140"/>
      </w:pPr>
      <w:r>
        <w:rPr>
          <w:color w:val="262626"/>
          <w:sz w:val="21"/>
          <w:szCs w:val="21"/>
        </w:rPr>
        <w:t xml:space="preserve">Clipped 2 out-of-range Satisfaction_Score values back into the valid 1–5 scale.</w:t>
      </w:r>
    </w:p>
    <w:p>
      <w:pPr>
        <w:spacing w:after="160" w:line="300"/>
      </w:pPr>
      <w:r>
        <w:rPr>
          <w:color w:val="262626"/>
          <w:sz w:val="21"/>
          <w:szCs w:val="21"/>
        </w:rPr>
        <w:t xml:space="preserve">Final analysis-ready dataset: 24,994 records × 37 columns (including two new indicator flags).</w:t>
      </w:r>
    </w:p>
    <w:p>
      <w:r>
        <w:br w:type="page"/>
      </w:r>
    </w:p>
    <w:p>
      <w:pPr>
        <w:pStyle w:val="Heading1"/>
        <w:pBdr>
          <w:bottom w:val="single" w:color="1f4e79" w:sz="6" w:space="4"/>
        </w:pBdr>
        <w:spacing w:after="160" w:before="320"/>
      </w:pPr>
      <w:r>
        <w:rPr>
          <w:b/>
          <w:bCs/>
          <w:color w:val="1f4e79"/>
          <w:sz w:val="30"/>
          <w:szCs w:val="30"/>
        </w:rPr>
        <w:t xml:space="preserve">4. Key Visual Findings</w:t>
      </w:r>
    </w:p>
    <w:p>
      <w:pPr>
        <w:pStyle w:val="Heading2"/>
        <w:spacing w:after="120" w:before="240"/>
      </w:pPr>
      <w:r>
        <w:rPr>
          <w:b/>
          <w:bCs/>
          <w:color w:val="1f4e79"/>
          <w:sz w:val="24"/>
          <w:szCs w:val="24"/>
        </w:rPr>
        <w:t xml:space="preserve">4.1 Cancellation Patterns</w:t>
      </w:r>
    </w:p>
    <w:p>
      <w:pPr>
        <w:spacing w:after="6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800350"/>
                    </a:xfrm>
                    <a:prstGeom prst="rect">
                      <a:avLst/>
                    </a:prstGeom>
                  </pic:spPr>
                </pic:pic>
              </a:graphicData>
            </a:graphic>
          </wp:inline>
        </w:drawing>
      </w:r>
    </w:p>
    <w:p>
      <w:pPr>
        <w:spacing w:after="260"/>
        <w:jc w:val="center"/>
      </w:pPr>
      <w:r>
        <w:rPr>
          <w:i/>
          <w:iCs/>
          <w:color w:val="595959"/>
          <w:sz w:val="18"/>
          <w:szCs w:val="18"/>
        </w:rPr>
        <w:t xml:space="preserve">Figure 1 — City Hotels cancel more often than Resort Hotels (73.3% vs 70.3%).</w:t>
      </w:r>
    </w:p>
    <w:p>
      <w:pPr>
        <w:spacing w:after="6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spacing w:after="260"/>
        <w:jc w:val="center"/>
      </w:pPr>
      <w:r>
        <w:rPr>
          <w:i/>
          <w:iCs/>
          <w:color w:val="595959"/>
          <w:sz w:val="18"/>
          <w:szCs w:val="18"/>
        </w:rPr>
        <w:t xml:space="preserve">Figure 2 — Cancellation rate rises sharply with lead time, peaking at 85.8% for 181–365 days, then eases to 50.0% for bookings made a year or more out.</w:t>
      </w:r>
    </w:p>
    <w:p>
      <w:pPr>
        <w:spacing w:after="6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60"/>
        <w:jc w:val="center"/>
      </w:pPr>
      <w:r>
        <w:rPr>
          <w:i/>
          <w:iCs/>
          <w:color w:val="595959"/>
          <w:sz w:val="18"/>
          <w:szCs w:val="18"/>
        </w:rPr>
        <w:t xml:space="preserve">Figure 3 — Non-Refund bookings show a striking 93.0% cancellation rate.</w:t>
      </w:r>
    </w:p>
    <w:p>
      <w:r>
        <w:br w:type="page"/>
      </w:r>
    </w:p>
    <w:p>
      <w:pPr>
        <w:pStyle w:val="Heading2"/>
        <w:spacing w:after="120" w:before="240"/>
      </w:pPr>
      <w:r>
        <w:rPr>
          <w:b/>
          <w:bCs/>
          <w:color w:val="1f4e79"/>
          <w:sz w:val="24"/>
          <w:szCs w:val="24"/>
        </w:rPr>
        <w:t xml:space="preserve">4.2 Revenue &amp; Segment Analysis</w:t>
      </w:r>
    </w:p>
    <w:p>
      <w:pPr>
        <w:spacing w:after="6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71750"/>
                    </a:xfrm>
                    <a:prstGeom prst="rect">
                      <a:avLst/>
                    </a:prstGeom>
                  </pic:spPr>
                </pic:pic>
              </a:graphicData>
            </a:graphic>
          </wp:inline>
        </w:drawing>
      </w:r>
    </w:p>
    <w:p>
      <w:pPr>
        <w:spacing w:after="260"/>
        <w:jc w:val="center"/>
      </w:pPr>
      <w:r>
        <w:rPr>
          <w:i/>
          <w:iCs/>
          <w:color w:val="595959"/>
          <w:sz w:val="18"/>
          <w:szCs w:val="18"/>
        </w:rPr>
        <w:t xml:space="preserve">Figure 4 — Direct and Online TA channels command the highest ADR; Groups the lowest.</w:t>
      </w:r>
    </w:p>
    <w:p>
      <w:pPr>
        <w:spacing w:after="6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81250"/>
                    </a:xfrm>
                    <a:prstGeom prst="rect">
                      <a:avLst/>
                    </a:prstGeom>
                  </pic:spPr>
                </pic:pic>
              </a:graphicData>
            </a:graphic>
          </wp:inline>
        </w:drawing>
      </w:r>
    </w:p>
    <w:p>
      <w:pPr>
        <w:spacing w:after="260"/>
        <w:jc w:val="center"/>
      </w:pPr>
      <w:r>
        <w:rPr>
          <w:i/>
          <w:iCs/>
          <w:color w:val="595959"/>
          <w:sz w:val="18"/>
          <w:szCs w:val="18"/>
        </w:rPr>
        <w:t xml:space="preserve">Figure 5 — London and Lisbon generate the highest total estimated revenue.</w:t>
      </w:r>
    </w:p>
    <w:p>
      <w:r>
        <w:br w:type="page"/>
      </w:r>
    </w:p>
    <w:p>
      <w:pPr>
        <w:pStyle w:val="Heading2"/>
        <w:spacing w:after="120" w:before="240"/>
      </w:pPr>
      <w:r>
        <w:rPr>
          <w:b/>
          <w:bCs/>
          <w:color w:val="1f4e79"/>
          <w:sz w:val="24"/>
          <w:szCs w:val="24"/>
        </w:rPr>
        <w:t xml:space="preserve">4.3 Trends &amp; Correlations</w:t>
      </w:r>
    </w:p>
    <w:p>
      <w:pPr>
        <w:spacing w:after="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260"/>
        <w:jc w:val="center"/>
      </w:pPr>
      <w:r>
        <w:rPr>
          <w:i/>
          <w:iCs/>
          <w:color w:val="595959"/>
          <w:sz w:val="18"/>
          <w:szCs w:val="18"/>
        </w:rPr>
        <w:t xml:space="preserve">Figure 6 — Booking volume by arrival month shows clear seasonal peaks.</w:t>
      </w:r>
    </w:p>
    <w:p>
      <w:pPr>
        <w:spacing w:after="6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619500"/>
                    </a:xfrm>
                    <a:prstGeom prst="rect">
                      <a:avLst/>
                    </a:prstGeom>
                  </pic:spPr>
                </pic:pic>
              </a:graphicData>
            </a:graphic>
          </wp:inline>
        </w:drawing>
      </w:r>
    </w:p>
    <w:p>
      <w:pPr>
        <w:spacing w:after="260"/>
        <w:jc w:val="center"/>
      </w:pPr>
      <w:r>
        <w:rPr>
          <w:i/>
          <w:iCs/>
          <w:color w:val="595959"/>
          <w:sz w:val="18"/>
          <w:szCs w:val="18"/>
        </w:rPr>
        <w:t xml:space="preserve">Figure 7 — Correlation matrix: Lead_Time_Days correlates with cancellation (+0.34); waiting-list days correlate negatively with satisfaction (-0.28).</w:t>
      </w:r>
    </w:p>
    <w:p>
      <w:r>
        <w:br w:type="page"/>
      </w:r>
    </w:p>
    <w:p>
      <w:pPr>
        <w:pStyle w:val="Heading1"/>
        <w:pBdr>
          <w:bottom w:val="single" w:color="1f4e79" w:sz="6" w:space="4"/>
        </w:pBdr>
        <w:spacing w:after="160" w:before="320"/>
      </w:pPr>
      <w:r>
        <w:rPr>
          <w:b/>
          <w:bCs/>
          <w:color w:val="1f4e79"/>
          <w:sz w:val="30"/>
          <w:szCs w:val="30"/>
        </w:rPr>
        <w:t xml:space="preserve">5. Key Business Insights</w:t>
      </w:r>
    </w:p>
    <w:p>
      <w:pPr>
        <w:pStyle w:val="ListParagraph"/>
        <w:numPr>
          <w:ilvl w:val="0"/>
          <w:numId w:val="4"/>
        </w:numPr>
        <w:spacing w:after="140"/>
      </w:pPr>
      <w:r>
        <w:rPr>
          <w:color w:val="262626"/>
          <w:sz w:val="21"/>
          <w:szCs w:val="21"/>
        </w:rPr>
        <w:t xml:space="preserve">Cancellation rate is extremely high — 72.2% of all bookings end in cancellation or no-show, consistent across hotel types and market segments, pointing to a structural booking-process issue rather than an isolated segment problem.</w:t>
      </w:r>
    </w:p>
    <w:p>
      <w:pPr>
        <w:pStyle w:val="ListParagraph"/>
        <w:numPr>
          <w:ilvl w:val="0"/>
          <w:numId w:val="4"/>
        </w:numPr>
        <w:spacing w:after="140"/>
      </w:pPr>
      <w:r>
        <w:rPr>
          <w:color w:val="262626"/>
          <w:sz w:val="21"/>
          <w:szCs w:val="21"/>
        </w:rPr>
        <w:t xml:space="preserve">Longer lead time is the strongest driver of cancellation, up to a point. Cancelled bookings average ~205 days lead time vs. ~124 days for completed stays (correlation +0.34), and the cancellation rate climbs from 45.2% (0-30 days) to a peak of 85.8% (181-365 days) before easing to 50.0% for bookings made a year or more in advance — likely locked-in contract or corporate bookings.</w:t>
      </w:r>
    </w:p>
    <w:p>
      <w:pPr>
        <w:pStyle w:val="ListParagraph"/>
        <w:numPr>
          <w:ilvl w:val="0"/>
          <w:numId w:val="4"/>
        </w:numPr>
        <w:spacing w:after="140"/>
      </w:pPr>
      <w:r>
        <w:rPr>
          <w:color w:val="262626"/>
          <w:sz w:val="21"/>
          <w:szCs w:val="21"/>
        </w:rPr>
        <w:t xml:space="preserve">Deposit type is a near-perfect cancellation signal: "Non-Refund" bookings cancel at 93.0%, versus ~52–55% for "Refundable" and "No Deposit" — the opposite of the policy's intended effect, and worth a dedicated review.</w:t>
      </w:r>
    </w:p>
    <w:p>
      <w:pPr>
        <w:pStyle w:val="ListParagraph"/>
        <w:numPr>
          <w:ilvl w:val="0"/>
          <w:numId w:val="4"/>
        </w:numPr>
        <w:spacing w:after="140"/>
      </w:pPr>
      <w:r>
        <w:rPr>
          <w:color w:val="262626"/>
          <w:sz w:val="21"/>
          <w:szCs w:val="21"/>
        </w:rPr>
        <w:t xml:space="preserve">Revenue is heavily exposed to cancellations: $9.6M in booked revenue was never realized, versus $3.8M actually collected — a nearly 3:1 gap between booked and realized revenue.</w:t>
      </w:r>
    </w:p>
    <w:p>
      <w:pPr>
        <w:pStyle w:val="ListParagraph"/>
        <w:numPr>
          <w:ilvl w:val="0"/>
          <w:numId w:val="4"/>
        </w:numPr>
        <w:spacing w:after="140"/>
      </w:pPr>
      <w:r>
        <w:rPr>
          <w:color w:val="262626"/>
          <w:sz w:val="21"/>
          <w:szCs w:val="21"/>
        </w:rPr>
        <w:t xml:space="preserve">Guest satisfaction erodes with waiting-list delays (3.88 average with no wait, down to 3.19 at 51+ days), and the Online TA channel — the highest-volume segment — also carries the highest cancellation rate (75.1%).</w:t>
      </w:r>
    </w:p>
    <w:p>
      <w:pPr>
        <w:pStyle w:val="Heading1"/>
        <w:pBdr>
          <w:bottom w:val="single" w:color="1f4e79" w:sz="6" w:space="4"/>
        </w:pBdr>
        <w:spacing w:after="160" w:before="320"/>
      </w:pPr>
      <w:r>
        <w:rPr>
          <w:b/>
          <w:bCs/>
          <w:color w:val="1f4e79"/>
          <w:sz w:val="30"/>
          <w:szCs w:val="30"/>
        </w:rPr>
        <w:t xml:space="preserve">6. Recommendations for Management</w:t>
      </w:r>
    </w:p>
    <w:p>
      <w:pPr>
        <w:pStyle w:val="ListParagraph"/>
        <w:numPr>
          <w:ilvl w:val="0"/>
          <w:numId w:val="5"/>
        </w:numPr>
        <w:spacing w:after="140"/>
      </w:pPr>
      <w:r>
        <w:rPr>
          <w:color w:val="262626"/>
          <w:sz w:val="21"/>
          <w:szCs w:val="21"/>
        </w:rPr>
        <w:t xml:space="preserve">Investigate the Non-Refund deposit anomaly immediately — a 93.0% cancellation rate on non-refundable bookings suggests either a data/labeling issue or a broken policy-enforcement process.</w:t>
      </w:r>
    </w:p>
    <w:p>
      <w:pPr>
        <w:pStyle w:val="ListParagraph"/>
        <w:numPr>
          <w:ilvl w:val="0"/>
          <w:numId w:val="5"/>
        </w:numPr>
        <w:spacing w:after="140"/>
      </w:pPr>
      <w:r>
        <w:rPr>
          <w:color w:val="262626"/>
          <w:sz w:val="21"/>
          <w:szCs w:val="21"/>
        </w:rPr>
        <w:t xml:space="preserve">Tighten cancellation policies for long-lead-time bookings — require partial pre-payment or confirmation call-backs for reservations made 180+ days in advance.</w:t>
      </w:r>
    </w:p>
    <w:p>
      <w:pPr>
        <w:pStyle w:val="ListParagraph"/>
        <w:numPr>
          <w:ilvl w:val="0"/>
          <w:numId w:val="5"/>
        </w:numPr>
        <w:spacing w:after="140"/>
      </w:pPr>
      <w:r>
        <w:rPr>
          <w:color w:val="262626"/>
          <w:sz w:val="21"/>
          <w:szCs w:val="21"/>
        </w:rPr>
        <w:t xml:space="preserve">Prioritize Online TA channel management — renegotiate cancellation-window terms with OTAs or add overbooking buffers specific to this channel.</w:t>
      </w:r>
    </w:p>
    <w:p>
      <w:pPr>
        <w:pStyle w:val="ListParagraph"/>
        <w:numPr>
          <w:ilvl w:val="0"/>
          <w:numId w:val="5"/>
        </w:numPr>
        <w:spacing w:after="140"/>
      </w:pPr>
      <w:r>
        <w:rPr>
          <w:color w:val="262626"/>
          <w:sz w:val="21"/>
          <w:szCs w:val="21"/>
        </w:rPr>
        <w:t xml:space="preserve">Reduce waiting-list dwell time — set an internal SLA to confirm or reject waitlisted requests within a defined window to protect satisfaction scores.</w:t>
      </w:r>
    </w:p>
    <w:p>
      <w:pPr>
        <w:pStyle w:val="ListParagraph"/>
        <w:numPr>
          <w:ilvl w:val="0"/>
          <w:numId w:val="5"/>
        </w:numPr>
        <w:spacing w:after="140"/>
      </w:pPr>
      <w:r>
        <w:rPr>
          <w:color w:val="262626"/>
          <w:sz w:val="21"/>
          <w:szCs w:val="21"/>
        </w:rPr>
        <w:t xml:space="preserve">Build a dynamic overbooking model using lead time and deposit type as leading predictors of cancellation risk to protect realized revenue.</w:t>
      </w:r>
    </w:p>
    <w:p>
      <w:pPr>
        <w:pStyle w:val="ListParagraph"/>
        <w:numPr>
          <w:ilvl w:val="0"/>
          <w:numId w:val="5"/>
        </w:numPr>
        <w:spacing w:after="140"/>
      </w:pPr>
      <w:r>
        <w:rPr>
          <w:color w:val="262626"/>
          <w:sz w:val="21"/>
          <w:szCs w:val="21"/>
        </w:rPr>
        <w:t xml:space="preserve">Standardize data capture at the booking-system level — inconsistent casing and 180 duplicate records point to input-validation gaps that should be fixed upstream.</w:t>
      </w:r>
    </w:p>
    <w:p>
      <w:pPr>
        <w:pStyle w:val="ListParagraph"/>
        <w:numPr>
          <w:ilvl w:val="0"/>
          <w:numId w:val="5"/>
        </w:numPr>
        <w:spacing w:after="140"/>
      </w:pPr>
      <w:r>
        <w:rPr>
          <w:color w:val="262626"/>
          <w:sz w:val="21"/>
          <w:szCs w:val="21"/>
        </w:rPr>
        <w:t xml:space="preserve">Focus retention and marketing spend on Corporate and Groups segments, which show the lowest cancellation rates (67.5% and 69.8% respectively) and more predictable revenue.</w:t>
      </w:r>
    </w:p>
    <w:p>
      <w:pPr>
        <w:pStyle w:val="Heading1"/>
        <w:pBdr>
          <w:bottom w:val="single" w:color="1f4e79" w:sz="6" w:space="4"/>
        </w:pBdr>
        <w:spacing w:after="160" w:before="320"/>
      </w:pPr>
      <w:r>
        <w:rPr>
          <w:b/>
          <w:bCs/>
          <w:color w:val="1f4e79"/>
          <w:sz w:val="30"/>
          <w:szCs w:val="30"/>
        </w:rPr>
        <w:t xml:space="preserve">7. Conclusion</w:t>
      </w:r>
    </w:p>
    <w:p>
      <w:pPr>
        <w:spacing w:after="160" w:line="300"/>
      </w:pPr>
      <w:r>
        <w:rPr>
          <w:color w:val="262626"/>
          <w:sz w:val="21"/>
          <w:szCs w:val="21"/>
        </w:rPr>
        <w:t xml:space="preserve">This EDA surfaces a hotel booking operation with strong top-line demand but a severe cancellation problem that is materially eroding realized revenue. The strongest available predictors of cancellation — lead time and deposit type — provide a practical starting point for a predictive overbooking or dynamic-deposit strategy, while the data quality issues identified point to process fixes that should be made at the point of booking capture rather than after the fact.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db57a113a0ad704c851cb10e2843b5f932ca17.png"/><Relationship Id="rId8" Type="http://schemas.openxmlformats.org/officeDocument/2006/relationships/image" Target="media/1d031fe1a57cc69c9d5e782ba08576bb2faa0583.png"/><Relationship Id="rId9" Type="http://schemas.openxmlformats.org/officeDocument/2006/relationships/image" Target="media/9f0150aff8caa9774a3b5804e4afb763cb863449.png"/><Relationship Id="rId10" Type="http://schemas.openxmlformats.org/officeDocument/2006/relationships/image" Target="media/9e255edc3001d5db488d1880909e4b4314c83f8d.png"/><Relationship Id="rId11" Type="http://schemas.openxmlformats.org/officeDocument/2006/relationships/image" Target="media/20b3a35d91a8eb5edf9813647cc49134e84ff60e.png"/><Relationship Id="rId12" Type="http://schemas.openxmlformats.org/officeDocument/2006/relationships/image" Target="media/b64b97f6c1bf2ce3f92deaa24792c2b55bf53abd.png"/><Relationship Id="rId13" Type="http://schemas.openxmlformats.org/officeDocument/2006/relationships/image" Target="media/eb2f9d784860d89ce60bde2e29551b978c5c82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2026-08-30T14:12:56.165Z</dcterms:created>
  <dcterms:modified xsi:type="dcterms:W3CDTF">2026-08-30T14:12:56.165Z</dcterms:modified>
</cp:coreProperties>
</file>

<file path=docProps/custom.xml><?xml version="1.0" encoding="utf-8"?>
<Properties xmlns="http://schemas.openxmlformats.org/officeDocument/2006/custom-properties" xmlns:vt="http://schemas.openxmlformats.org/officeDocument/2006/docPropsVTypes"/>
</file>