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40"/>
      </w:pPr>
      <w:r>
        <w:rPr>
          <w:rFonts w:ascii="Aptos" w:hAnsi="Aptos"/>
          <w:b/>
          <w:i w:val="0"/>
          <w:color w:val="2878A6"/>
          <w:sz w:val="26"/>
        </w:rPr>
        <w:t>TCC · DEVOLUTIVA À ANOTAÇÃO DE 13/10/2026</w:t>
      </w:r>
    </w:p>
    <w:p>
      <w:pPr>
        <w:spacing w:before="320" w:after="240"/>
      </w:pPr>
      <w:r>
        <w:rPr>
          <w:rFonts w:ascii="Aptos" w:hAnsi="Aptos"/>
          <w:b/>
          <w:i w:val="0"/>
          <w:color w:val="173B57"/>
          <w:sz w:val="58"/>
        </w:rPr>
        <w:t>SHAP por departamento</w:t>
        <w:br/>
        <w:t>e análise resumida com Ollama</w:t>
      </w:r>
    </w:p>
    <w:p>
      <w:pPr>
        <w:spacing w:after="440"/>
      </w:pPr>
      <w:r>
        <w:rPr>
          <w:rFonts w:ascii="Aptos" w:hAnsi="Aptos"/>
          <w:b w:val="0"/>
          <w:i w:val="0"/>
          <w:color w:val="50616F"/>
          <w:sz w:val="32"/>
        </w:rPr>
        <w:t>Gráficos setoriais, comparação dos fatores e uso controlado da LLM local.</w:t>
      </w:r>
    </w:p>
    <w:p>
      <w:pPr>
        <w:spacing w:after="320"/>
      </w:pPr>
      <w:r>
        <w:rPr>
          <w:rFonts w:ascii="Aptos" w:hAnsi="Aptos"/>
          <w:b/>
          <w:i w:val="0"/>
          <w:color w:val="2878A6"/>
          <w:sz w:val="24"/>
        </w:rPr>
        <w:t>Abinoã Menezes  |  Apresentação ao professor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842"/>
        <w:gridCol w:w="5842"/>
        <w:gridCol w:w="5842"/>
      </w:tblGrid>
      <w:tr>
        <w:tc>
          <w:tcPr>
            <w:tcW w:type="dxa" w:w="5842"/>
            <w:shd w:fill="EAF3F8"/>
            <w:tcMar>
              <w:top w:w="185" w:type="dxa"/>
              <w:left w:w="185" w:type="dxa"/>
              <w:bottom w:w="185" w:type="dxa"/>
              <w:right w:w="18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48"/>
              </w:rPr>
              <w:t>10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20"/>
              </w:rPr>
              <w:t>departamentos</w:t>
            </w:r>
          </w:p>
        </w:tc>
        <w:tc>
          <w:tcPr>
            <w:tcW w:type="dxa" w:w="5842"/>
            <w:shd w:fill="EAF3F8"/>
            <w:tcMar>
              <w:top w:w="185" w:type="dxa"/>
              <w:left w:w="185" w:type="dxa"/>
              <w:bottom w:w="185" w:type="dxa"/>
              <w:right w:w="18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48"/>
              </w:rPr>
              <w:t>3.000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20"/>
              </w:rPr>
              <w:t>pessoas no teste final</w:t>
            </w:r>
          </w:p>
        </w:tc>
        <w:tc>
          <w:tcPr>
            <w:tcW w:type="dxa" w:w="5842"/>
            <w:shd w:fill="EAF3F8"/>
            <w:tcMar>
              <w:top w:w="185" w:type="dxa"/>
              <w:left w:w="185" w:type="dxa"/>
              <w:bottom w:w="185" w:type="dxa"/>
              <w:right w:w="18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48"/>
              </w:rPr>
              <w:t>9 de 10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20"/>
              </w:rPr>
              <w:t>orientações aceitas da LLM</w:t>
            </w:r>
          </w:p>
        </w:tc>
      </w:tr>
    </w:tbl>
    <w:p>
      <w:pPr>
        <w:spacing w:after="0"/>
      </w:pPr>
      <w:r>
        <w:rPr>
          <w:rFonts w:ascii="Aptos" w:hAnsi="Aptos"/>
          <w:b w:val="0"/>
          <w:i w:val="0"/>
          <w:color w:val="50616F"/>
          <w:sz w:val="20"/>
        </w:rPr>
        <w:t>Roteiro principal nas páginas 2–6; os demais gráficos estão no anexo.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ATUALIZAÇÃO DA SEMANA · SHAP + OLLAMA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1. O que foi implementado</w:t>
      </w:r>
    </w:p>
    <w:p>
      <w:pPr>
        <w:spacing w:after="180"/>
      </w:pPr>
      <w:r>
        <w:rPr>
          <w:rFonts w:ascii="Aptos" w:hAnsi="Aptos"/>
          <w:b w:val="0"/>
          <w:i w:val="0"/>
          <w:color w:val="50616F"/>
          <w:sz w:val="20"/>
        </w:rPr>
        <w:t>Foco exclusivo na análise por departamento solicitada pelo orientador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2744"/>
      </w:tblGrid>
      <w:tr>
        <w:tc>
          <w:tcPr>
            <w:tcW w:type="dxa" w:w="4608"/>
            <w:shd w:fill="173B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4"/>
              </w:rPr>
              <w:t>Gráficos SHAP por setor</w:t>
            </w:r>
          </w:p>
        </w:tc>
        <w:tc>
          <w:tcPr>
            <w:tcW w:type="dxa" w:w="12744"/>
            <w:shd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4"/>
              </w:rPr>
              <w:t>Um gráfico para cada um dos 10 departamentos, sempre com a mesma escala horizontal.</w:t>
            </w:r>
          </w:p>
        </w:tc>
      </w:tr>
      <w:tr>
        <w:tc>
          <w:tcPr>
            <w:tcW w:type="dxa" w:w="4608"/>
            <w:shd w:fill="173B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4"/>
              </w:rPr>
              <w:t>Leitura comparativa</w:t>
            </w:r>
          </w:p>
        </w:tc>
        <w:tc>
          <w:tcPr>
            <w:tcW w:type="dxa" w:w="12744"/>
            <w:shd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4"/>
              </w:rPr>
              <w:t>Fatores comuns são informados uma vez; os destaques específicos mostram onde o impacto médio foi maior que nos outros setores.</w:t>
            </w:r>
          </w:p>
        </w:tc>
      </w:tr>
      <w:tr>
        <w:tc>
          <w:tcPr>
            <w:tcW w:type="dxa" w:w="4608"/>
            <w:shd w:fill="173B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4"/>
              </w:rPr>
              <w:t>Resumo para o RH</w:t>
            </w:r>
          </w:p>
        </w:tc>
        <w:tc>
          <w:tcPr>
            <w:tcW w:type="dxa" w:w="12744"/>
            <w:shd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4"/>
              </w:rPr>
              <w:t>O sistema calcula os números e entrega os fatores agregados à LLM, que só escolhe uma frase de investigação previamente permitida.</w:t>
            </w:r>
          </w:p>
        </w:tc>
      </w:tr>
      <w:tr>
        <w:tc>
          <w:tcPr>
            <w:tcW w:type="dxa" w:w="4608"/>
            <w:shd w:fill="173B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4"/>
              </w:rPr>
              <w:t>Contingência</w:t>
            </w:r>
          </w:p>
        </w:tc>
        <w:tc>
          <w:tcPr>
            <w:tcW w:type="dxa" w:w="12744"/>
            <w:shd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4"/>
              </w:rPr>
              <w:t>Se a LLM falhar, o resumo por regras permanece disponível. Isso ocorreu em 1 dos 10 setores.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0"/>
      </w:pPr>
      <w:r>
        <w:rPr>
          <w:rFonts w:ascii="Aptos" w:hAnsi="Aptos"/>
          <w:b w:val="0"/>
          <w:i w:val="0"/>
          <w:color w:val="B55B26"/>
          <w:sz w:val="22"/>
        </w:rPr>
        <w:t>Como explicar: “A atualização não altera o modelo preditivo. Ela organiza as explicações do SHAP por setor e transforma o resultado em um apoio mais legível para o RH.”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ATUALIZAÇÃO DA SEMANA · SHAP + OLLAMA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2. Panorama dos departamentos</w:t>
      </w:r>
    </w:p>
    <w:p>
      <w:pPr>
        <w:spacing w:after="180"/>
      </w:pPr>
      <w:r>
        <w:rPr>
          <w:rFonts w:ascii="Aptos" w:hAnsi="Aptos"/>
          <w:b w:val="0"/>
          <w:i w:val="0"/>
          <w:color w:val="50616F"/>
          <w:sz w:val="20"/>
        </w:rPr>
        <w:t>Teste final; sinalizado = escore do modelo ≥ 50%, não desligamento observado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800"/>
        <w:gridCol w:w="2880"/>
        <w:gridCol w:w="8784"/>
      </w:tblGrid>
      <w:tr>
        <w:tc>
          <w:tcPr>
            <w:tcW w:type="dxa" w:w="4381"/>
            <w:shd w:fill="173B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Departamento</w:t>
            </w:r>
          </w:p>
        </w:tc>
        <w:tc>
          <w:tcPr>
            <w:tcW w:type="dxa" w:w="4381"/>
            <w:shd w:fill="173B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Pessoas</w:t>
            </w:r>
          </w:p>
        </w:tc>
        <w:tc>
          <w:tcPr>
            <w:tcW w:type="dxa" w:w="4381"/>
            <w:shd w:fill="173B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Sinalizadas</w:t>
            </w:r>
          </w:p>
        </w:tc>
        <w:tc>
          <w:tcPr>
            <w:tcW w:type="dxa" w:w="4381"/>
            <w:shd w:fill="173B5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Fatores diferenciais no SHAP</w:t>
            </w:r>
          </w:p>
        </w:tc>
      </w:tr>
      <w:tr>
        <w:tc>
          <w:tcPr>
            <w:tcW w:type="dxa" w:w="3888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TI</w:t>
            </w:r>
          </w:p>
        </w:tc>
        <w:tc>
          <w:tcPr>
            <w:tcW w:type="dxa" w:w="180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235</w:t>
            </w:r>
          </w:p>
        </w:tc>
        <w:tc>
          <w:tcPr>
            <w:tcW w:type="dxa" w:w="288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55 (23,4%)</w:t>
            </w:r>
          </w:p>
        </w:tc>
        <w:tc>
          <w:tcPr>
            <w:tcW w:type="dxa" w:w="8784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horas trabalhadas/mês, quantidade de projetos</w:t>
            </w:r>
          </w:p>
        </w:tc>
      </w:tr>
      <w:tr>
        <w:tc>
          <w:tcPr>
            <w:tcW w:type="dxa" w:w="38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Pesquisa e desenvolvimento</w:t>
            </w:r>
          </w:p>
        </w:tc>
        <w:tc>
          <w:tcPr>
            <w:tcW w:type="dxa" w:w="18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165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29 (17,6%)</w:t>
            </w:r>
          </w:p>
        </w:tc>
        <w:tc>
          <w:tcPr>
            <w:tcW w:type="dxa" w:w="87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quantidade de projetos</w:t>
            </w:r>
          </w:p>
        </w:tc>
      </w:tr>
      <w:tr>
        <w:tc>
          <w:tcPr>
            <w:tcW w:type="dxa" w:w="3888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Contabilidade</w:t>
            </w:r>
          </w:p>
        </w:tc>
        <w:tc>
          <w:tcPr>
            <w:tcW w:type="dxa" w:w="180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173</w:t>
            </w:r>
          </w:p>
        </w:tc>
        <w:tc>
          <w:tcPr>
            <w:tcW w:type="dxa" w:w="288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57 (32,9%)</w:t>
            </w:r>
          </w:p>
        </w:tc>
        <w:tc>
          <w:tcPr>
            <w:tcW w:type="dxa" w:w="8784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quantidade de projetos</w:t>
            </w:r>
          </w:p>
        </w:tc>
      </w:tr>
      <w:tr>
        <w:tc>
          <w:tcPr>
            <w:tcW w:type="dxa" w:w="38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Recursos humanos</w:t>
            </w:r>
          </w:p>
        </w:tc>
        <w:tc>
          <w:tcPr>
            <w:tcW w:type="dxa" w:w="18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145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39 (26,9%)</w:t>
            </w:r>
          </w:p>
        </w:tc>
        <w:tc>
          <w:tcPr>
            <w:tcW w:type="dxa" w:w="87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quantidade de projetos</w:t>
            </w:r>
          </w:p>
        </w:tc>
      </w:tr>
      <w:tr>
        <w:tc>
          <w:tcPr>
            <w:tcW w:type="dxa" w:w="3888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Gestão</w:t>
            </w:r>
          </w:p>
        </w:tc>
        <w:tc>
          <w:tcPr>
            <w:tcW w:type="dxa" w:w="180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130</w:t>
            </w:r>
          </w:p>
        </w:tc>
        <w:tc>
          <w:tcPr>
            <w:tcW w:type="dxa" w:w="288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18 (13,8%)</w:t>
            </w:r>
          </w:p>
        </w:tc>
        <w:tc>
          <w:tcPr>
            <w:tcW w:type="dxa" w:w="8784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horas trabalhadas/mês</w:t>
            </w:r>
          </w:p>
        </w:tc>
      </w:tr>
      <w:tr>
        <w:tc>
          <w:tcPr>
            <w:tcW w:type="dxa" w:w="38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Marketing</w:t>
            </w:r>
          </w:p>
        </w:tc>
        <w:tc>
          <w:tcPr>
            <w:tcW w:type="dxa" w:w="18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179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41 (22,9%)</w:t>
            </w:r>
          </w:p>
        </w:tc>
        <w:tc>
          <w:tcPr>
            <w:tcW w:type="dxa" w:w="87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sem destaque específico</w:t>
            </w:r>
          </w:p>
        </w:tc>
      </w:tr>
      <w:tr>
        <w:tc>
          <w:tcPr>
            <w:tcW w:type="dxa" w:w="3888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Gestão de produtos</w:t>
            </w:r>
          </w:p>
        </w:tc>
        <w:tc>
          <w:tcPr>
            <w:tcW w:type="dxa" w:w="180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202</w:t>
            </w:r>
          </w:p>
        </w:tc>
        <w:tc>
          <w:tcPr>
            <w:tcW w:type="dxa" w:w="288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45 (22,3%)</w:t>
            </w:r>
          </w:p>
        </w:tc>
        <w:tc>
          <w:tcPr>
            <w:tcW w:type="dxa" w:w="8784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última avaliação, horas trabalhadas/mês</w:t>
            </w:r>
          </w:p>
        </w:tc>
      </w:tr>
      <w:tr>
        <w:tc>
          <w:tcPr>
            <w:tcW w:type="dxa" w:w="38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Vendas</w:t>
            </w:r>
          </w:p>
        </w:tc>
        <w:tc>
          <w:tcPr>
            <w:tcW w:type="dxa" w:w="18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812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191 (23,5%)</w:t>
            </w:r>
          </w:p>
        </w:tc>
        <w:tc>
          <w:tcPr>
            <w:tcW w:type="dxa" w:w="87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última avaliação, horas trabalhadas/mês</w:t>
            </w:r>
          </w:p>
        </w:tc>
      </w:tr>
      <w:tr>
        <w:tc>
          <w:tcPr>
            <w:tcW w:type="dxa" w:w="3888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Suporte</w:t>
            </w:r>
          </w:p>
        </w:tc>
        <w:tc>
          <w:tcPr>
            <w:tcW w:type="dxa" w:w="180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414</w:t>
            </w:r>
          </w:p>
        </w:tc>
        <w:tc>
          <w:tcPr>
            <w:tcW w:type="dxa" w:w="2880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93 (22,5%)</w:t>
            </w:r>
          </w:p>
        </w:tc>
        <w:tc>
          <w:tcPr>
            <w:tcW w:type="dxa" w:w="8784"/>
            <w:shd w:fill="EAF3F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quantidade de projetos, última avaliação</w:t>
            </w:r>
          </w:p>
        </w:tc>
      </w:tr>
      <w:tr>
        <w:tc>
          <w:tcPr>
            <w:tcW w:type="dxa" w:w="388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18"/>
              </w:rPr>
              <w:t>Equipe técnica</w:t>
            </w:r>
          </w:p>
        </w:tc>
        <w:tc>
          <w:tcPr>
            <w:tcW w:type="dxa" w:w="18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545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126 (23,1%)</w:t>
            </w:r>
          </w:p>
        </w:tc>
        <w:tc>
          <w:tcPr>
            <w:tcW w:type="dxa" w:w="87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18"/>
              </w:rPr>
              <w:t>horas trabalhadas/mês, última avaliação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i w:val="0"/>
          <w:color w:val="50616F"/>
          <w:sz w:val="20"/>
        </w:rPr>
        <w:t>Fatores frequentemente importantes em todos os setores: satisfação e tempo de empresa. O quadro privilegia as diferenças entre departamentos.</w:t>
      </w:r>
    </w:p>
    <w:p>
      <w:pPr>
        <w:spacing w:after="0"/>
      </w:pPr>
      <w:r>
        <w:rPr>
          <w:rFonts w:ascii="Aptos" w:hAnsi="Aptos"/>
          <w:b w:val="0"/>
          <w:i w:val="0"/>
          <w:color w:val="B55B26"/>
          <w:sz w:val="20"/>
        </w:rPr>
        <w:t>Como explicar: “Contabilidade teve 57 de 173 pessoas sinalizadas; isso serve para priorizar análise, não para afirmar que 57 pessoas de fato sairão.”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ATUALIZAÇÃO DA SEMANA · SHAP + OLLAMA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3. Exemplo: Contabilidade × Vendas</w:t>
      </w:r>
    </w:p>
    <w:p>
      <w:pPr>
        <w:spacing w:after="180"/>
      </w:pPr>
      <w:r>
        <w:rPr>
          <w:rFonts w:ascii="Aptos" w:hAnsi="Aptos"/>
          <w:b w:val="0"/>
          <w:i w:val="0"/>
          <w:color w:val="50616F"/>
          <w:sz w:val="20"/>
        </w:rPr>
        <w:t>Gráficos do setor inteiro, não apenas das pessoas sinalizadas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12"/>
        <w:gridCol w:w="8712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30274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account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3027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40680" cy="30274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sal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0" cy="3027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62"/>
        <w:gridCol w:w="8762"/>
      </w:tblGrid>
      <w:tr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0"/>
              </w:rPr>
              <w:t xml:space="preserve">Contabilidade: 57/173 sinalizadas. </w:t>
            </w: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Destaque: quantidade de projetos.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Investigação proposta: Avaliar quantidade de projetos, prioridades e distribuicao das atividades.</w:t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0"/>
              </w:rPr>
              <w:t xml:space="preserve">Vendas: 191/812 sinalizadas. </w:t>
            </w: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Destaque: última avaliação, horas trabalhadas/mês.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Investigação proposta: Revisar carga horaria, horas extras, prazos e dimensionamento da equipe.</w:t>
            </w:r>
          </w:p>
        </w:tc>
      </w:tr>
    </w:tbl>
    <w:p>
      <w:pPr>
        <w:spacing w:after="0"/>
      </w:pPr>
      <w:r>
        <w:rPr>
          <w:rFonts w:ascii="Aptos" w:hAnsi="Aptos"/>
          <w:b w:val="0"/>
          <w:i w:val="0"/>
          <w:color w:val="50616F"/>
          <w:sz w:val="20"/>
        </w:rPr>
        <w:t>Leitura: barras vermelhas elevam e azuis reduzem a previsão de saída; valores são contribuições SHAP médias em log-odds. A escala é igual nos dois gráficos.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ATUALIZAÇÃO DA SEMANA · SHAP + OLLAMA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4. O papel exato do Ollama</w:t>
      </w:r>
    </w:p>
    <w:p>
      <w:pPr>
        <w:spacing w:after="180"/>
      </w:pPr>
      <w:r>
        <w:rPr>
          <w:rFonts w:ascii="Aptos" w:hAnsi="Aptos"/>
          <w:b w:val="0"/>
          <w:i w:val="0"/>
          <w:color w:val="50616F"/>
          <w:sz w:val="20"/>
        </w:rPr>
        <w:t>A LLM não calcula SHAP, não faz previsões e não cria números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4400"/>
      </w:tblGrid>
      <w:tr>
        <w:tc>
          <w:tcPr>
            <w:tcW w:type="dxa" w:w="8762"/>
            <w:shd w:fill="173B5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2"/>
              </w:rPr>
              <w:t>Entrada</w:t>
            </w:r>
          </w:p>
        </w:tc>
        <w:tc>
          <w:tcPr>
            <w:tcW w:type="dxa" w:w="8762"/>
            <w:shd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2"/>
              </w:rPr>
              <w:t>O programa envia, para cada setor, nomes dos fatores diferenciais e dos fatores positivos entre os sinalizados, mais uma lista de ações permitidas.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4400"/>
      </w:tblGrid>
      <w:tr>
        <w:tc>
          <w:tcPr>
            <w:tcW w:type="dxa" w:w="8762"/>
            <w:shd w:fill="173B5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2"/>
              </w:rPr>
              <w:t>Escolha</w:t>
            </w:r>
          </w:p>
        </w:tc>
        <w:tc>
          <w:tcPr>
            <w:tcW w:type="dxa" w:w="8762"/>
            <w:shd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2"/>
              </w:rPr>
              <w:t>O modelo local llama3.2:3b deve copiar literalmente uma única frase dessa lista.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4400"/>
      </w:tblGrid>
      <w:tr>
        <w:tc>
          <w:tcPr>
            <w:tcW w:type="dxa" w:w="8762"/>
            <w:shd w:fill="173B5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2"/>
              </w:rPr>
              <w:t>Validação</w:t>
            </w:r>
          </w:p>
        </w:tc>
        <w:tc>
          <w:tcPr>
            <w:tcW w:type="dxa" w:w="8762"/>
            <w:shd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2"/>
              </w:rPr>
              <w:t>O código só aceita a frase se ela for idêntica a uma das opções. Os números e os fatores SHAP continuam calculados pelo programa.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4400"/>
      </w:tblGrid>
      <w:tr>
        <w:tc>
          <w:tcPr>
            <w:tcW w:type="dxa" w:w="8762"/>
            <w:shd w:fill="173B5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2"/>
              </w:rPr>
              <w:t>Fallback</w:t>
            </w:r>
          </w:p>
        </w:tc>
        <w:tc>
          <w:tcPr>
            <w:tcW w:type="dxa" w:w="8762"/>
            <w:shd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2"/>
              </w:rPr>
              <w:t>Foram 9 respostas válidas em 10 setores. Na equipe técnica, a saída da LLM foi rejeitada por formato e ficou o texto por regras.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Aptos" w:hAnsi="Aptos"/>
          <w:b w:val="0"/>
          <w:i w:val="0"/>
          <w:color w:val="B55B26"/>
          <w:sz w:val="22"/>
        </w:rPr>
        <w:t>Ponto a melhorar: uma frase válida nem sempre é a mais alinhada ao fator diferencial. Em Gestão, horas trabalhadas foram o destaque, mas a frase escolhida tratou de projetos. A validação atual garante formato, não pertinência perfeita.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ATUALIZAÇÃO DA SEMANA · SHAP + OLLAMA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5. Por que Ollama local?</w:t>
      </w:r>
    </w:p>
    <w:p>
      <w:pPr>
        <w:spacing w:after="180"/>
      </w:pPr>
      <w:r>
        <w:rPr>
          <w:rFonts w:ascii="Aptos" w:hAnsi="Aptos"/>
          <w:b w:val="0"/>
          <w:i w:val="0"/>
          <w:color w:val="50616F"/>
          <w:sz w:val="20"/>
        </w:rPr>
        <w:t>Escolha de arquitetura para o protótipo, com vantagens e limites explícitos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  <w:gridCol w:w="7344"/>
      </w:tblGrid>
      <w:tr>
        <w:tc>
          <w:tcPr>
            <w:tcW w:type="dxa" w:w="5842"/>
            <w:shd w:fill="173B57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5842"/>
            <w:shd w:fill="173B57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Ollama local</w:t>
            </w:r>
          </w:p>
        </w:tc>
        <w:tc>
          <w:tcPr>
            <w:tcW w:type="dxa" w:w="5842"/>
            <w:shd w:fill="173B57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API externa</w:t>
            </w:r>
          </w:p>
        </w:tc>
      </w:tr>
      <w:tr>
        <w:tc>
          <w:tcPr>
            <w:tcW w:type="dxa" w:w="2880"/>
            <w:shd w:fill="EAF3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0"/>
              </w:rPr>
              <w:t>Custo</w:t>
            </w:r>
          </w:p>
        </w:tc>
        <w:tc>
          <w:tcPr>
            <w:tcW w:type="dxa" w:w="7344"/>
            <w:shd w:fill="EAF3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Sem cobrança por token; há custo de equipamento e energia.</w:t>
            </w:r>
          </w:p>
        </w:tc>
        <w:tc>
          <w:tcPr>
            <w:tcW w:type="dxa" w:w="7344"/>
            <w:shd w:fill="EAF3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Custo por uso conforme provedor e volume.</w:t>
            </w:r>
          </w:p>
        </w:tc>
      </w:tr>
      <w:tr>
        <w:tc>
          <w:tcPr>
            <w:tcW w:type="dxa" w:w="2880"/>
            <w:shd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0"/>
              </w:rPr>
              <w:t>Privacidade</w:t>
            </w:r>
          </w:p>
        </w:tc>
        <w:tc>
          <w:tcPr>
            <w:tcW w:type="dxa" w:w="7344"/>
            <w:shd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A inferência desta etapa ocorre localmente.</w:t>
            </w:r>
          </w:p>
        </w:tc>
        <w:tc>
          <w:tcPr>
            <w:tcW w:type="dxa" w:w="7344"/>
            <w:shd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Exige envio e avaliação contratual do tratamento dos dados.</w:t>
            </w:r>
          </w:p>
        </w:tc>
      </w:tr>
      <w:tr>
        <w:tc>
          <w:tcPr>
            <w:tcW w:type="dxa" w:w="2880"/>
            <w:shd w:fill="EAF3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0"/>
              </w:rPr>
              <w:t>Operação</w:t>
            </w:r>
          </w:p>
        </w:tc>
        <w:tc>
          <w:tcPr>
            <w:tcW w:type="dxa" w:w="7344"/>
            <w:shd w:fill="EAF3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Requer instalação, memória e manutenção local.</w:t>
            </w:r>
          </w:p>
        </w:tc>
        <w:tc>
          <w:tcPr>
            <w:tcW w:type="dxa" w:w="7344"/>
            <w:shd w:fill="EAF3F8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Infraestrutura e atualizações ficam em grande parte com o provedor.</w:t>
            </w:r>
          </w:p>
        </w:tc>
      </w:tr>
      <w:tr>
        <w:tc>
          <w:tcPr>
            <w:tcW w:type="dxa" w:w="2880"/>
            <w:shd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0"/>
              </w:rPr>
              <w:t>Escala</w:t>
            </w:r>
          </w:p>
        </w:tc>
        <w:tc>
          <w:tcPr>
            <w:tcW w:type="dxa" w:w="7344"/>
            <w:shd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Limite depende do hardware disponível.</w:t>
            </w:r>
          </w:p>
        </w:tc>
        <w:tc>
          <w:tcPr>
            <w:tcW w:type="dxa" w:w="7344"/>
            <w:shd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Mais fácil escalar, mas depende de rede e orçamento.</w:t>
            </w:r>
          </w:p>
        </w:tc>
      </w:tr>
    </w:tbl>
    <w:p>
      <w:pPr>
        <w:spacing w:after="160"/>
      </w:pPr>
      <w:r>
        <w:rPr>
          <w:rFonts w:ascii="Aptos" w:hAnsi="Aptos"/>
          <w:b w:val="0"/>
          <w:i w:val="0"/>
          <w:color w:val="B55B26"/>
          <w:sz w:val="22"/>
        </w:rPr>
        <w:t>Justificativa: para o protótipo acadêmico, o Ollama permite experimentar sem tarifa por chamada e processar localmente os resumos. Para uso real pelo RH, é preciso reavaliar capacidade, segurança e qualidade das respostas.</w:t>
      </w:r>
    </w:p>
    <w:p>
      <w:pPr>
        <w:spacing w:after="0"/>
      </w:pPr>
      <w:r>
        <w:rPr>
          <w:rFonts w:ascii="Aptos" w:hAnsi="Aptos"/>
          <w:b w:val="0"/>
          <w:i w:val="0"/>
          <w:color w:val="173B57"/>
          <w:sz w:val="20"/>
        </w:rPr>
        <w:t>Mensagem final ao professor: “Entreguei os dez gráficos SHAP por departamento e uma leitura agregada. O Ollama só seleciona orientações permitidas; quando falha, há um texto por regras. O próximo ajuste é medir se a frase escolhida é realmente pertinente ao fator destacado.”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A1. SHAP · TI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TI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235 pessoas; 55 sinalizadas (23,40%).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horas trabalhadas/mês, quantidade de projetos.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Avaliar quantidade de projetos, prioridades e distribuicao das atividades.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A2. SHAP · Pesquisa e desenvolvimento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Rand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Pesquisa e desenvolvimento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165 pessoas; 29 sinalizadas (17,58%).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quantidade de projetos.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Avaliar quantidade de projetos, prioridades e distribuicao das atividades.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A3. SHAP · Recursos humanos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h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Recursos humanos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145 pessoas; 39 sinalizadas (26,90%).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quantidade de projetos.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Avaliar quantidade de projetos, prioridades e distribuicao das atividades.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A4. SHAP · Gestão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managem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Gestão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130 pessoas; 18 sinalizadas (13,85%).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horas trabalhadas/mês.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Avaliar quantidade de projetos, prioridades e distribuicao das atividades.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A5. SHAP · Marketing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market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Marketing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179 pessoas; 41 sinalizadas (22,91%).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sem destaque específico.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Avaliar quantidade de projetos, prioridades e distribuicao das atividades.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A6. SHAP · Gestão de produtos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product_m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Gestão de produtos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202 pessoas; 45 sinalizadas (22,28%).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última avaliação, horas trabalhadas/mês.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Revisar carga horaria, horas extras, prazos e dimensionamento da equipe.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A7. SHAP · Suporte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suppor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Suporte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414 pessoas; 93 sinalizadas (22,46%).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quantidade de projetos, última avaliação.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Orientação: Avaliar quantidade de projetos, prioridades e distribuicao das atividades.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2878A6"/>
          <w:sz w:val="18"/>
        </w:rPr>
        <w:t>ANEXO · GRÁFICOS POR DEPARTAMENTO</w:t>
      </w:r>
    </w:p>
    <w:p>
      <w:pPr>
        <w:spacing w:after="120"/>
      </w:pPr>
      <w:r>
        <w:rPr>
          <w:rFonts w:ascii="Aptos" w:hAnsi="Aptos"/>
          <w:b/>
          <w:i w:val="0"/>
          <w:color w:val="173B57"/>
          <w:sz w:val="48"/>
        </w:rPr>
        <w:t>A8. SHAP · Equipe técnica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72"/>
        <w:gridCol w:w="4608"/>
      </w:tblGrid>
      <w:tr>
        <w:tc>
          <w:tcPr>
            <w:tcW w:type="dxa" w:w="8762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55279" cy="4426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_departamento_technic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79" cy="4426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2"/>
            <w:shd w:fill="EAF3F8"/>
            <w:tcMar>
              <w:top w:w="125" w:type="dxa"/>
              <w:left w:w="125" w:type="dxa"/>
              <w:bottom w:w="125" w:type="dxa"/>
              <w:right w:w="125" w:type="dxa"/>
            </w:tcMar>
          </w:tcPr>
          <w:p>
            <w:r>
              <w:rPr>
                <w:rFonts w:ascii="Aptos" w:hAnsi="Aptos"/>
                <w:b/>
                <w:i w:val="0"/>
                <w:color w:val="173B57"/>
                <w:sz w:val="28"/>
              </w:rPr>
              <w:t>Equipe técnica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545 pessoas; 126 sinalizadas (23,12%).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Diferencial: horas trabalhadas/mês, última avaliação.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i w:val="0"/>
                <w:color w:val="173B57"/>
                <w:sz w:val="20"/>
              </w:rPr>
              <w:t>Resumo por regras; a frase da LLM não foi aceita.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0616F"/>
                <w:sz w:val="18"/>
              </w:rPr>
              <w:t>SHAP em log-odds; vermelho eleva, azul reduz a previsão. Não demonstra causalidade.</w:t>
            </w:r>
          </w:p>
        </w:tc>
      </w:tr>
    </w:tbl>
    <w:sectPr w:rsidR="00FC693F" w:rsidRPr="0006063C" w:rsidSect="00034616">
      <w:footerReference w:type="default" r:id="rId9"/>
      <w:pgSz w:w="19195" w:h="10800"/>
      <w:pgMar w:top="605" w:right="835" w:bottom="619" w:left="835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0616F"/>
        <w:sz w:val="16"/>
      </w:rPr>
      <w:t xml:space="preserve">Abinoã Menezes · Reunião com o orientador · 26/10/2026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Atualização do TCC: SHAP por departamento e Ollama</dc:title>
  <dc:subject>Devolutiva à anotação do orientador de 13/10/2026</dc:subject>
  <dc:creator>Abinoã Menezes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