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WTHQ-0008</w:t>
      </w:r>
    </w:p>
    <w:p>
      <w:pPr>
        <w:spacing w:after="100" w:line="250" w:lineRule="auto"/>
      </w:pPr>
      <w:r>
        <w:rPr>
          <w:rFonts w:ascii="Arial" w:hAnsi="Arial" w:cs="Arial"/>
          <w:b w:val="0"/>
          <w:sz w:val="21"/>
        </w:rPr>
        <w:t>Reference wathiqrare0008 uses the uncommon term psithurism. وتتضمن المذكرة المصطلح النادر التماثل. تجمع الخطة 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w:t>
      </w:r>
    </w:p>
    <w:p>
      <w:pPr>
        <w:spacing w:after="100" w:line="250" w:lineRule="auto"/>
      </w:pPr>
      <w:r>
        <w:rPr>
          <w:rFonts w:ascii="Arial" w:hAnsi="Arial" w:cs="Arial"/>
          <w:b w:val="0"/>
          <w:sz w:val="21"/>
        </w:rPr>
        <w:t>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and supplier</w:t>
      </w:r>
    </w:p>
    <w:p>
      <w:pPr>
        <w:spacing w:after="100" w:line="250" w:lineRule="auto"/>
      </w:pPr>
      <w:r>
        <w:rPr>
          <w:rFonts w:ascii="Arial" w:hAnsi="Arial" w:cs="Arial"/>
          <w:b w:val="0"/>
          <w:sz w:val="21"/>
        </w:rPr>
        <w:t>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w:t>
      </w:r>
    </w:p>
    <w:p>
      <w:pPr>
        <w:spacing w:after="100" w:line="250" w:lineRule="auto"/>
      </w:pPr>
      <w:r>
        <w:rPr>
          <w:rFonts w:ascii="Arial" w:hAnsi="Arial" w:cs="Arial"/>
          <w:b w:val="0"/>
          <w:sz w:val="21"/>
        </w:rPr>
        <w:t>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