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WTHQ-0009</w:t>
      </w:r>
    </w:p>
    <w:p>
      <w:pPr>
        <w:spacing w:after="100" w:line="250" w:lineRule="auto"/>
      </w:pPr>
      <w:r>
        <w:rPr>
          <w:rFonts w:ascii="Arial" w:hAnsi="Arial" w:cs="Arial"/>
          <w:b w:val="0"/>
          <w:sz w:val="21"/>
        </w:rPr>
        <w:t>Reference wathiqrare0009 uses the uncommon term ultracrepidarian. وتتضمن المذكرة المصطلح النادر المضاهاة.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w:t>
      </w:r>
    </w:p>
    <w:p>
      <w:pPr>
        <w:spacing w:after="100" w:line="250" w:lineRule="auto"/>
      </w:pPr>
      <w:r>
        <w:rPr>
          <w:rFonts w:ascii="Arial" w:hAnsi="Arial" w:cs="Arial"/>
          <w:b w:val="0"/>
          <w:sz w:val="21"/>
        </w:rPr>
        <w:t>ويوجه الموارد المتاحة 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 Analysts reconciled supplier invoices with approved commitments and documented</w:t>
      </w:r>
    </w:p>
    <w:p>
      <w:pPr>
        <w:spacing w:after="100" w:line="250" w:lineRule="auto"/>
      </w:pPr>
      <w:r>
        <w:rPr>
          <w:rFonts w:ascii="Arial" w:hAnsi="Arial" w:cs="Arial"/>
          <w:b w:val="0"/>
          <w:sz w:val="21"/>
        </w:rPr>
        <w:t>each variance that required follow-up by the budget owner.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 ويوجه الموارد المتاحة</w:t>
      </w:r>
    </w:p>
    <w:p>
      <w:pPr>
        <w:spacing w:after="100" w:line="250" w:lineRule="auto"/>
      </w:pPr>
      <w:r>
        <w:rPr>
          <w:rFonts w:ascii="Arial" w:hAnsi="Arial" w:cs="Arial"/>
          <w:b w:val="0"/>
          <w:sz w:val="21"/>
        </w:rPr>
        <w:t>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