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WTHQ-0013</w:t>
      </w:r>
    </w:p>
    <w:p>
      <w:pPr>
        <w:spacing w:after="100" w:line="250" w:lineRule="auto"/>
      </w:pPr>
      <w:r>
        <w:rPr>
          <w:rFonts w:ascii="Arial" w:hAnsi="Arial" w:cs="Arial"/>
          <w:b w:val="0"/>
          <w:sz w:val="21"/>
        </w:rPr>
        <w:t>Reference wathiqrare0013 uses the uncommon term syzygy. وتتضمن المذكرة المصطلح النادر الاستدامة. Metadata corrections will follow the approved audit process 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w:t>
      </w:r>
    </w:p>
    <w:p>
      <w:pPr>
        <w:spacing w:after="100" w:line="250" w:lineRule="auto"/>
      </w:pPr>
      <w:r>
        <w:rPr>
          <w:rFonts w:ascii="Arial" w:hAnsi="Arial" w:cs="Arial"/>
          <w:b w:val="0"/>
          <w:sz w:val="21"/>
        </w:rPr>
        <w:t>controls, and transfer readiness across active business folders. Every digital component must remain linked to its authoritative record and retain a verifiable content checksum. The review identified duplicate working copies and assigned owners to confirm disposition without removing evidence under legal hold. Metadata corrections will follow the approved audit process</w:t>
      </w:r>
    </w:p>
    <w:p>
      <w:pPr>
        <w:spacing w:after="100" w:line="250" w:lineRule="auto"/>
      </w:pPr>
      <w:r>
        <w:rPr>
          <w:rFonts w:ascii="Arial" w:hAnsi="Arial" w:cs="Arial"/>
          <w:b w:val="0"/>
          <w:sz w:val="21"/>
        </w:rPr>
        <w:t>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 controls, and transfer readiness across active business folders. Every digital component must remain linked to its authoritative record and retain</w:t>
      </w:r>
    </w:p>
    <w:p>
      <w:pPr>
        <w:spacing w:after="100" w:line="250" w:lineRule="auto"/>
      </w:pPr>
      <w:r>
        <w:rPr>
          <w:rFonts w:ascii="Arial" w:hAnsi="Arial" w:cs="Arial"/>
          <w:b w:val="0"/>
          <w:sz w:val="21"/>
        </w:rPr>
        <w:t>a verifiable content checksum. The review identified duplicate working copies and assigned owners to confirm disposition without removing evidence under legal hold. Metadata corrections will follow the approved audit process and preserve the history of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