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WTHQ-0014</w:t>
      </w:r>
    </w:p>
    <w:p>
      <w:pPr>
        <w:spacing w:after="100" w:line="250" w:lineRule="auto"/>
      </w:pPr>
      <w:r>
        <w:rPr>
          <w:rFonts w:ascii="Arial" w:hAnsi="Arial" w:cs="Arial"/>
          <w:b w:val="0"/>
          <w:sz w:val="21"/>
        </w:rPr>
        <w:t>Reference wathiqrare0014 uses the uncommon term susurrus. وتتضمن المذكرة المصطلح النادر الاستدلال. 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w:t>
      </w:r>
    </w:p>
    <w:p>
      <w:pPr>
        <w:spacing w:after="100" w:line="250" w:lineRule="auto"/>
      </w:pPr>
      <w:r>
        <w:rPr>
          <w:rFonts w:ascii="Arial" w:hAnsi="Arial" w:cs="Arial"/>
          <w:b w:val="0"/>
          <w:sz w:val="21"/>
        </w:rPr>
        <w:t>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w:t>
      </w:r>
    </w:p>
    <w:p>
      <w:pPr>
        <w:spacing w:after="100" w:line="250" w:lineRule="auto"/>
      </w:pPr>
      <w:r>
        <w:rPr>
          <w:rFonts w:ascii="Arial" w:hAnsi="Arial" w:cs="Arial"/>
          <w:b w:val="0"/>
          <w:sz w:val="21"/>
        </w:rPr>
        <w:t>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w:t>
      </w:r>
    </w:p>
    <w:p>
      <w:pPr>
        <w:spacing w:after="100" w:line="250" w:lineRule="auto"/>
      </w:pPr>
      <w:r>
        <w:rPr>
          <w:rFonts w:ascii="Arial" w:hAnsi="Arial" w:cs="Arial"/>
          <w:b w:val="0"/>
          <w:sz w:val="21"/>
        </w:rPr>
        <w:t>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