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Workforce Planning Note</w:t>
      </w:r>
    </w:p>
    <w:p>
      <w:pPr>
        <w:jc w:val="right"/>
      </w:pPr>
      <w:r>
        <w:rPr>
          <w:rFonts w:ascii="Arial" w:hAnsi="Arial" w:cs="Arial"/>
          <w:b/>
          <w:sz w:val="28"/>
        </w:rPr>
        <w:t>مذكرة تخطيط القوى العاملة</w:t>
      </w:r>
    </w:p>
    <w:p>
      <w:r>
        <w:rPr>
          <w:rFonts w:ascii="Arial" w:hAnsi="Arial" w:cs="Arial"/>
          <w:b w:val="0"/>
          <w:sz w:val="18"/>
        </w:rPr>
        <w:t>Synthetic reference WTHQ-0026</w:t>
      </w:r>
    </w:p>
    <w:p>
      <w:pPr>
        <w:spacing w:after="100" w:line="250" w:lineRule="auto"/>
      </w:pPr>
      <w:r>
        <w:rPr>
          <w:rFonts w:ascii="Arial" w:hAnsi="Arial" w:cs="Arial"/>
          <w:b w:val="0"/>
          <w:sz w:val="21"/>
        </w:rPr>
        <w:t>Reference wathiqrare0026 uses the uncommon term anfractuous. وتتضمن المذكرة المصطلح النادر الاستدراك. أكد المديرون أن الأوصاف الوظيفية تعكس المسؤوليات الحالية وأن سجلات المقابلات تتبع مدة الحفظ المعتمدة. توازن خطة القوى العاملة بين الشواغر الأساسية والتزامات التدريب وتحدد مسؤولية واضحة لكل إجراء معلق. تبقى سجلات الموظفين مقيدة بالمخولين مع جدولة مراجعة</w:t>
      </w:r>
    </w:p>
    <w:p>
      <w:pPr>
        <w:spacing w:after="100" w:line="250" w:lineRule="auto"/>
      </w:pPr>
      <w:r>
        <w:rPr>
          <w:rFonts w:ascii="Arial" w:hAnsi="Arial" w:cs="Arial"/>
          <w:b w:val="0"/>
          <w:sz w:val="21"/>
        </w:rPr>
        <w:t>الصلاحيات قبل دورة التقارير القادمة. Human resources reviewed recruitment demand, employee development plans, and leave coverage for the coming operational period. راجعت الموارد البشرية احتياجات التوظيف وخطط تطوير الموظفين وتغطية الإجازات للفترة التشغيلية القادمة. أكد المديرون أن الأوصاف الوظيفية تعكس المسؤوليات الحالية وأن سجلات المقابلات تتبع مدة الحفظ المعتمدة. توازن</w:t>
      </w:r>
    </w:p>
    <w:p>
      <w:pPr>
        <w:spacing w:after="100" w:line="250" w:lineRule="auto"/>
      </w:pPr>
      <w:r>
        <w:rPr>
          <w:rFonts w:ascii="Arial" w:hAnsi="Arial" w:cs="Arial"/>
          <w:b w:val="0"/>
          <w:sz w:val="21"/>
        </w:rPr>
        <w:t>خطة القوى العاملة بين الشواغر الأساسية والتزامات التدريب وتحدد مسؤولية واضحة لكل إجراء معلق. تبقى سجلات الموظفين مقيدة بالمخولين مع جدولة مراجعة الصلاحيات قبل دورة التقارير القادمة. Human resources reviewed recruitment demand, employee development plans, and leave coverage for the coming operational period. راجعت الموارد البشرية احتياجات التوظيف وخطط تطوير</w:t>
      </w:r>
    </w:p>
    <w:p>
      <w:pPr>
        <w:spacing w:after="100" w:line="250" w:lineRule="auto"/>
      </w:pPr>
      <w:r>
        <w:rPr>
          <w:rFonts w:ascii="Arial" w:hAnsi="Arial" w:cs="Arial"/>
          <w:b w:val="0"/>
          <w:sz w:val="21"/>
        </w:rPr>
        <w:t>الموظفين وتغطية الإجازات للفترة التشغيلية القادمة. أكد المديرون أن الأوصاف الوظيفية تعكس المسؤوليات الحالية وأن سجلات المقابلات تتبع مدة الحفظ المعتمدة. توازن خطة القوى العاملة بين الشواغر الأساسية والتزامات التدريب وتحدد مسؤولية واضحة لكل إجراء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