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WTHQ-0032</w:t>
      </w:r>
    </w:p>
    <w:p>
      <w:pPr>
        <w:spacing w:after="100" w:line="250" w:lineRule="auto"/>
      </w:pPr>
      <w:r>
        <w:rPr>
          <w:rFonts w:ascii="Arial" w:hAnsi="Arial" w:cs="Arial"/>
          <w:b w:val="0"/>
          <w:sz w:val="21"/>
        </w:rPr>
        <w:t>Reference wathiqrare0032 uses the uncommon term zeugma. وتتضمن المذكرة المصطلح النادر التبويب.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 performance information.</w:t>
      </w:r>
    </w:p>
    <w:p>
      <w:pPr>
        <w:spacing w:after="100" w:line="250" w:lineRule="auto"/>
      </w:pPr>
      <w:r>
        <w:rPr>
          <w:rFonts w:ascii="Arial" w:hAnsi="Arial" w:cs="Arial"/>
          <w:b w:val="0"/>
          <w:sz w:val="21"/>
        </w:rPr>
        <w:t>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w:t>
      </w:r>
    </w:p>
    <w:p>
      <w:pPr>
        <w:spacing w:after="100" w:line="250" w:lineRule="auto"/>
      </w:pPr>
      <w:r>
        <w:rPr>
          <w:rFonts w:ascii="Arial" w:hAnsi="Arial" w:cs="Arial"/>
          <w:b w:val="0"/>
          <w:sz w:val="21"/>
        </w:rPr>
        <w:t>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w:t>
      </w:r>
    </w:p>
    <w:p>
      <w:pPr>
        <w:spacing w:after="100" w:line="250" w:lineRule="auto"/>
      </w:pPr>
      <w:r>
        <w:rPr>
          <w:rFonts w:ascii="Arial" w:hAnsi="Arial" w:cs="Arial"/>
          <w:b w:val="0"/>
          <w:sz w:val="21"/>
        </w:rPr>
        <w:t>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