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WTHQ-0037</w:t>
      </w:r>
    </w:p>
    <w:p>
      <w:pPr>
        <w:spacing w:after="100" w:line="250" w:lineRule="auto"/>
      </w:pPr>
      <w:r>
        <w:rPr>
          <w:rFonts w:ascii="Arial" w:hAnsi="Arial" w:cs="Arial"/>
          <w:b w:val="0"/>
          <w:sz w:val="21"/>
        </w:rPr>
        <w:t>Reference wathiqrare0037 uses the uncommon term crepuscular. وتتضمن المذكرة المصطلح النادر التغاير. The review identified duplicate working copies and assigned owners to confirm disposition without removing evidence under legal hold. Metadata corrections will follow the approved audit process and preserve the history of each governed change. راجع موظفو السجلات التصنيفات</w:t>
      </w:r>
    </w:p>
    <w:p>
      <w:pPr>
        <w:spacing w:after="100" w:line="250" w:lineRule="auto"/>
      </w:pPr>
      <w:r>
        <w:rPr>
          <w:rFonts w:ascii="Arial" w:hAnsi="Arial" w:cs="Arial"/>
          <w:b w:val="0"/>
          <w:sz w:val="21"/>
        </w:rPr>
        <w:t>ومدد الحفظ وضوابط الوصول وجاهزية التحويل في ملفات الأعمال النشطة. Records staff reviewed file classifications, retention periods, access controls, and transfer readiness across active business folders. Every digital component must remain linked to its authoritative record and retain a verifiable content checksum. The review identified duplicate working copies and assigned</w:t>
      </w:r>
    </w:p>
    <w:p>
      <w:pPr>
        <w:spacing w:after="100" w:line="250" w:lineRule="auto"/>
      </w:pPr>
      <w:r>
        <w:rPr>
          <w:rFonts w:ascii="Arial" w:hAnsi="Arial" w:cs="Arial"/>
          <w:b w:val="0"/>
          <w:sz w:val="21"/>
        </w:rPr>
        <w:t>owners to confirm disposition without removing evidence under legal hold. Metadata corrections will follow the approved audit process and preserve the history of each governed change. راجع موظفو السجلات التصنيفات ومدد الحفظ وضوابط الوصول وجاهزية التحويل في ملفات الأعمال النشطة. Records staff reviewed file classifications, retention periods, access controls, and</w:t>
      </w:r>
    </w:p>
    <w:p>
      <w:pPr>
        <w:spacing w:after="100" w:line="250" w:lineRule="auto"/>
      </w:pPr>
      <w:r>
        <w:rPr>
          <w:rFonts w:ascii="Arial" w:hAnsi="Arial" w:cs="Arial"/>
          <w:b w:val="0"/>
          <w:sz w:val="21"/>
        </w:rPr>
        <w:t>transfer readiness across active business folders. Every digital component must remain linked to its authoritative record and retain a verifiable content checksum. The review identified duplicate working copies and assigned owners to confirm disposition without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