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WTHQ-0039</w:t>
      </w:r>
    </w:p>
    <w:p>
      <w:pPr>
        <w:spacing w:after="100" w:line="250" w:lineRule="auto"/>
      </w:pPr>
      <w:r>
        <w:rPr>
          <w:rFonts w:ascii="Arial" w:hAnsi="Arial" w:cs="Arial"/>
          <w:b w:val="0"/>
          <w:sz w:val="21"/>
        </w:rPr>
        <w:t>Reference wathiqrare0039 uses the uncommon term ultracrepidarian. وتتضمن المذكرة المصطلح النادر المضاهاة. وثق المهندسون سبب التنبيهات المتكررة وأسندوا 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w:t>
      </w:r>
    </w:p>
    <w:p>
      <w:pPr>
        <w:spacing w:after="100" w:line="250" w:lineRule="auto"/>
      </w:pPr>
      <w:r>
        <w:rPr>
          <w:rFonts w:ascii="Arial" w:hAnsi="Arial" w:cs="Arial"/>
          <w:b w:val="0"/>
          <w:sz w:val="21"/>
        </w:rPr>
        <w:t>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w:t>
      </w:r>
    </w:p>
    <w:p>
      <w:pPr>
        <w:spacing w:after="100" w:line="250" w:lineRule="auto"/>
      </w:pPr>
      <w:r>
        <w:rPr>
          <w:rFonts w:ascii="Arial" w:hAnsi="Arial" w:cs="Arial"/>
          <w:b w:val="0"/>
          <w:sz w:val="21"/>
        </w:rPr>
        <w:t>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 technology team reviewed service incidents, backup results, access changes, and planned maintenance for core systems. راجع فريق التقنية</w:t>
      </w:r>
    </w:p>
    <w:p>
      <w:pPr>
        <w:spacing w:after="100" w:line="250" w:lineRule="auto"/>
      </w:pPr>
      <w:r>
        <w:rPr>
          <w:rFonts w:ascii="Arial" w:hAnsi="Arial" w:cs="Arial"/>
          <w:b w:val="0"/>
          <w:sz w:val="21"/>
        </w:rPr>
        <w:t>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 إجراءات تصحيحية بمعايير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