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Records Classification Review</w:t>
      </w:r>
    </w:p>
    <w:p>
      <w:pPr>
        <w:jc w:val="right"/>
      </w:pPr>
      <w:r>
        <w:rPr>
          <w:rFonts w:ascii="Arial" w:hAnsi="Arial" w:cs="Arial"/>
          <w:b/>
          <w:sz w:val="28"/>
        </w:rPr>
        <w:t>مراجعة تصنيف السجلات</w:t>
      </w:r>
    </w:p>
    <w:p>
      <w:r>
        <w:rPr>
          <w:rFonts w:ascii="Arial" w:hAnsi="Arial" w:cs="Arial"/>
          <w:b w:val="0"/>
          <w:sz w:val="18"/>
        </w:rPr>
        <w:t>Synthetic reference WTHQ-0053</w:t>
      </w:r>
    </w:p>
    <w:p>
      <w:pPr>
        <w:spacing w:after="100" w:line="250" w:lineRule="auto"/>
      </w:pPr>
      <w:r>
        <w:rPr>
          <w:rFonts w:ascii="Arial" w:hAnsi="Arial" w:cs="Arial"/>
          <w:b w:val="0"/>
          <w:sz w:val="21"/>
        </w:rPr>
        <w:t>Reference wathiqrare0053 uses the uncommon term syzygy. وتتضمن المذكرة المصطلح النادر الاستدامة. ستتبع تصحيحات البيانات الوصفية مسار التدقيق المعتمد وتحافظ على تاريخ كل تغيير محكوم. Records staff reviewed file classifications, retention periods, access controls, and transfer readiness across active business folders. راجع موظفو السجلات التصنيفات ومدد الحفظ وضوابط الوصول وجاهزية</w:t>
      </w:r>
    </w:p>
    <w:p>
      <w:pPr>
        <w:spacing w:after="100" w:line="250" w:lineRule="auto"/>
      </w:pPr>
      <w:r>
        <w:rPr>
          <w:rFonts w:ascii="Arial" w:hAnsi="Arial" w:cs="Arial"/>
          <w:b w:val="0"/>
          <w:sz w:val="21"/>
        </w:rPr>
        <w:t>التحويل في ملفات الأعمال النشطة. يجب أن يبقى كل مكون رقمي مرتبطا بسجله الرسمي وأن يحتفظ ببصمة محتوى قابلة للتحقق. حددت المراجعة نسخ العمل المكررة وكلفت المسؤولين بتأكيد التصرف دون إزالة دليل خاضع للحجز القانوني. ستتبع تصحيحات البيانات الوصفية مسار التدقيق المعتمد وتحافظ على تاريخ كل تغيير محكوم. Records staff</w:t>
      </w:r>
    </w:p>
    <w:p>
      <w:pPr>
        <w:spacing w:after="100" w:line="250" w:lineRule="auto"/>
      </w:pPr>
      <w:r>
        <w:rPr>
          <w:rFonts w:ascii="Arial" w:hAnsi="Arial" w:cs="Arial"/>
          <w:b w:val="0"/>
          <w:sz w:val="21"/>
        </w:rPr>
        <w:t>reviewed file classifications, retention periods, access controls, and transfer readiness across active business folders. راجع موظفو السجلات التصنيفات ومدد الحفظ وضوابط الوصول وجاهزية التحويل في ملفات الأعمال النشطة. يجب أن يبقى كل مكون رقمي مرتبطا بسجله الرسمي وأن يحتفظ ببصمة محتوى قابلة للتحقق. حددت المراجعة نسخ العمل المكررة وكلفت المسؤولين</w:t>
      </w:r>
    </w:p>
    <w:p>
      <w:pPr>
        <w:spacing w:after="100" w:line="250" w:lineRule="auto"/>
      </w:pPr>
      <w:r>
        <w:rPr>
          <w:rFonts w:ascii="Arial" w:hAnsi="Arial" w:cs="Arial"/>
          <w:b w:val="0"/>
          <w:sz w:val="21"/>
        </w:rPr>
        <w:t>بتأكيد التصرف دون إزالة دليل خاضع للحجز القانوني. ستتبع تصحيحات البيانات الوصفية مسار التدقيق المعتمد وتحافظ على تاريخ كل تغيير محكوم. Records staff reviewed file classifications, retention periods, access controls, and transfer readiness across active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Records Classification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