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WTHQ-0058</w:t>
      </w:r>
    </w:p>
    <w:p>
      <w:pPr>
        <w:spacing w:after="100" w:line="250" w:lineRule="auto"/>
      </w:pPr>
      <w:r>
        <w:rPr>
          <w:rFonts w:ascii="Arial" w:hAnsi="Arial" w:cs="Arial"/>
          <w:b w:val="0"/>
          <w:sz w:val="21"/>
        </w:rPr>
        <w:t>Reference wathiqrare0058 uses the uncommon term psithurism. وتتضمن المذكرة المصطلح النادر التماثل. Employee records remain restricted to authorized staff, with access 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w:t>
      </w:r>
    </w:p>
    <w:p>
      <w:pPr>
        <w:spacing w:after="100" w:line="250" w:lineRule="auto"/>
      </w:pPr>
      <w:r>
        <w:rPr>
          <w:rFonts w:ascii="Arial" w:hAnsi="Arial" w:cs="Arial"/>
          <w:b w:val="0"/>
          <w:sz w:val="21"/>
        </w:rPr>
        <w:t>leave coverage for the coming operational period. Managers confirmed that position descriptions reflect current responsibilities and that interview records follow the approved retention schedule. The workforce plan balances essential vacancies with training commitments and provides clear ownership for every pending action. Employee records remain restricted to authorized staff, with access</w:t>
      </w:r>
    </w:p>
    <w:p>
      <w:pPr>
        <w:spacing w:after="100" w:line="250" w:lineRule="auto"/>
      </w:pPr>
      <w:r>
        <w:rPr>
          <w:rFonts w:ascii="Arial" w:hAnsi="Arial" w:cs="Arial"/>
          <w:b w:val="0"/>
          <w:sz w:val="21"/>
        </w:rPr>
        <w:t>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 leave coverage for the coming operational period. Managers confirmed that position descriptions reflect current responsibilities and that interview records follow the</w:t>
      </w:r>
    </w:p>
    <w:p>
      <w:pPr>
        <w:spacing w:after="100" w:line="250" w:lineRule="auto"/>
      </w:pPr>
      <w:r>
        <w:rPr>
          <w:rFonts w:ascii="Arial" w:hAnsi="Arial" w:cs="Arial"/>
          <w:b w:val="0"/>
          <w:sz w:val="21"/>
        </w:rPr>
        <w:t>approved retention schedule. The workforce plan balances essential vacancies with training commitments and provides clear ownership for every pending action. Employee records remain restricted to authorized staff, with access reviews scheduled before the next reporting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