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WTHQ-0069</w:t>
      </w:r>
    </w:p>
    <w:p>
      <w:pPr>
        <w:spacing w:after="100" w:line="250" w:lineRule="auto"/>
      </w:pPr>
      <w:r>
        <w:rPr>
          <w:rFonts w:ascii="Arial" w:hAnsi="Arial" w:cs="Arial"/>
          <w:b w:val="0"/>
          <w:sz w:val="21"/>
        </w:rPr>
        <w:t>Reference wathiqrare0069 uses the uncommon term ultracrepidarian. وتتضمن المذكرة المصطلح النادر المضاهاة. يجب أن يبقى كل مكون رقمي مرتبطا بسجله الرسمي وأن يحتفظ ببصمة محتوى قابلة للتحقق. The review identified duplicate working copies and assigned owners to confirm disposition without removing evidence under legal hold. حددت المراجعة نسخ العمل المكررة</w:t>
      </w:r>
    </w:p>
    <w:p>
      <w:pPr>
        <w:spacing w:after="100" w:line="250" w:lineRule="auto"/>
      </w:pPr>
      <w:r>
        <w:rPr>
          <w:rFonts w:ascii="Arial" w:hAnsi="Arial" w:cs="Arial"/>
          <w:b w:val="0"/>
          <w:sz w:val="21"/>
        </w:rPr>
        <w:t>وكلفت المسؤولين بتأكيد التصرف دون إزالة دليل خاضع للحجز القانوني.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Every digital component must remain linked to its authoritative record</w:t>
      </w:r>
    </w:p>
    <w:p>
      <w:pPr>
        <w:spacing w:after="100" w:line="250" w:lineRule="auto"/>
      </w:pPr>
      <w:r>
        <w:rPr>
          <w:rFonts w:ascii="Arial" w:hAnsi="Arial" w:cs="Arial"/>
          <w:b w:val="0"/>
          <w:sz w:val="21"/>
        </w:rPr>
        <w:t>and retain a verifiable content checksum. يجب أن يبقى كل مكون رقمي مرتبطا بسجله الرسمي وأن يحتفظ ببصمة محتوى قابلة للتحقق. The review identified duplicate working copies and assigned owners to confirm disposition without removing evidence under legal hold. حددت المراجعة نسخ العمل المكررة وكلفت المسؤولين بتأكيد التصرف دون إزالة</w:t>
      </w:r>
    </w:p>
    <w:p>
      <w:pPr>
        <w:spacing w:after="100" w:line="250" w:lineRule="auto"/>
      </w:pPr>
      <w:r>
        <w:rPr>
          <w:rFonts w:ascii="Arial" w:hAnsi="Arial" w:cs="Arial"/>
          <w:b w:val="0"/>
          <w:sz w:val="21"/>
        </w:rPr>
        <w:t>دليل خاضع للحجز القانوني.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Every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