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WTHQ-0071</w:t>
      </w:r>
    </w:p>
    <w:p>
      <w:pPr>
        <w:spacing w:after="100" w:line="250" w:lineRule="auto"/>
      </w:pPr>
      <w:r>
        <w:rPr>
          <w:rFonts w:ascii="Arial" w:hAnsi="Arial" w:cs="Arial"/>
          <w:b w:val="0"/>
          <w:sz w:val="21"/>
        </w:rPr>
        <w:t>Reference wathiqrare0071 uses the uncommon term quincunx. وتتضمن المذكرة المصطلح النادر الاستعصاء.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w:t>
      </w:r>
    </w:p>
    <w:p>
      <w:pPr>
        <w:spacing w:after="100" w:line="250" w:lineRule="auto"/>
      </w:pPr>
      <w:r>
        <w:rPr>
          <w:rFonts w:ascii="Arial" w:hAnsi="Arial" w:cs="Arial"/>
          <w:b w:val="0"/>
          <w:sz w:val="21"/>
        </w:rPr>
        <w:t>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w:t>
      </w:r>
    </w:p>
    <w:p>
      <w:pPr>
        <w:spacing w:after="100" w:line="250" w:lineRule="auto"/>
      </w:pPr>
      <w:r>
        <w:rPr>
          <w:rFonts w:ascii="Arial" w:hAnsi="Arial" w:cs="Arial"/>
          <w:b w:val="0"/>
          <w:sz w:val="21"/>
        </w:rPr>
        <w:t>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w:t>
      </w:r>
    </w:p>
    <w:p>
      <w:pPr>
        <w:spacing w:after="100" w:line="250" w:lineRule="auto"/>
      </w:pPr>
      <w:r>
        <w:rPr>
          <w:rFonts w:ascii="Arial" w:hAnsi="Arial" w:cs="Arial"/>
          <w:b w:val="0"/>
          <w:sz w:val="21"/>
        </w:rPr>
        <w:t>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