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WTHQ-0073</w:t>
      </w:r>
    </w:p>
    <w:p>
      <w:pPr>
        <w:spacing w:after="100" w:line="250" w:lineRule="auto"/>
      </w:pPr>
      <w:r>
        <w:rPr>
          <w:rFonts w:ascii="Arial" w:hAnsi="Arial" w:cs="Arial"/>
          <w:b w:val="0"/>
          <w:sz w:val="21"/>
        </w:rPr>
        <w:t>Reference wathiqrare0073 uses the uncommon term syzygy. وتتضمن المذكرة المصطلح النادر الاستدامة. Managers will compare actual spending with the approved budget and explain material changes during the quarterly review meeting. راجع فريق المالية المصروفات الشهرية وتوقيت الإيرادات وتوقعات التدفق النقدي قبل إعداد التقرير الإداري القادم. The finance team reviewed monthly</w:t>
      </w:r>
    </w:p>
    <w:p>
      <w:pPr>
        <w:spacing w:after="100" w:line="250" w:lineRule="auto"/>
      </w:pPr>
      <w:r>
        <w:rPr>
          <w:rFonts w:ascii="Arial" w:hAnsi="Arial" w:cs="Arial"/>
          <w:b w:val="0"/>
          <w:sz w:val="21"/>
        </w:rPr>
        <w:t>expenditure, revenue timing, and cash forecasts before preparing the next management report. Analysts reconciled supplier invoices with approved commitments and documented each variance that required follow-up by the budget owner. The revised forecast preserves contingency funding while directing available resources toward services with confirmed operational demand. Managers will compare actual</w:t>
      </w:r>
    </w:p>
    <w:p>
      <w:pPr>
        <w:spacing w:after="100" w:line="250" w:lineRule="auto"/>
      </w:pPr>
      <w:r>
        <w:rPr>
          <w:rFonts w:ascii="Arial" w:hAnsi="Arial" w:cs="Arial"/>
          <w:b w:val="0"/>
          <w:sz w:val="21"/>
        </w:rPr>
        <w:t>spending with the approved budget and explain material changes during the quarterly review meeting. راجع فريق المالية المصروفات الشهرية وتوقيت الإيرادات وتوقعات التدفق النقدي قبل إعداد التقرير الإداري القادم. The finance team reviewed monthly expenditure, revenue timing, and cash forecasts before preparing the next management report. Analysts reconciled supplier invoices</w:t>
      </w:r>
    </w:p>
    <w:p>
      <w:pPr>
        <w:spacing w:after="100" w:line="250" w:lineRule="auto"/>
      </w:pPr>
      <w:r>
        <w:rPr>
          <w:rFonts w:ascii="Arial" w:hAnsi="Arial" w:cs="Arial"/>
          <w:b w:val="0"/>
          <w:sz w:val="21"/>
        </w:rPr>
        <w:t>with approved commitments and documented each variance that required follow-up by the budget owner. The revised forecast preserves contingency funding while directing available resources toward services with confirmed operational demand. Managers will compare actual spending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