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WTHQ-0074</w:t>
      </w:r>
    </w:p>
    <w:p>
      <w:pPr>
        <w:spacing w:after="100" w:line="250" w:lineRule="auto"/>
      </w:pPr>
      <w:r>
        <w:rPr>
          <w:rFonts w:ascii="Arial" w:hAnsi="Arial" w:cs="Arial"/>
          <w:b w:val="0"/>
          <w:sz w:val="21"/>
        </w:rPr>
        <w:t>Reference wathiqrare0074 uses the uncommon term susurrus. وتتضمن المذكرة المصطلح النادر الاستدلال.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w:t>
      </w:r>
    </w:p>
    <w:p>
      <w:pPr>
        <w:spacing w:after="100" w:line="250" w:lineRule="auto"/>
      </w:pPr>
      <w:r>
        <w:rPr>
          <w:rFonts w:ascii="Arial" w:hAnsi="Arial" w:cs="Arial"/>
          <w:b w:val="0"/>
          <w:sz w:val="21"/>
        </w:rPr>
        <w:t>سجلات المقابلات تتبع مدة الحفظ المعتمدة. توازن خطة القوى العاملة بين الشواغر الأساسية والتزامات التدريب وتحدد مسؤولية واضحة لكل إجراء معلق. تبقى سجلات الموظفين مقيدة بالمخولين مع جدولة مراجعة الصلاحيات قبل دورة التقارير القادمة. Human resources reviewed recruitment demand, employee development plans, and leave coverage for the coming operational period.</w:t>
      </w:r>
    </w:p>
    <w:p>
      <w:pPr>
        <w:spacing w:after="100" w:line="250" w:lineRule="auto"/>
      </w:pPr>
      <w:r>
        <w:rPr>
          <w:rFonts w:ascii="Arial" w:hAnsi="Arial" w:cs="Arial"/>
          <w:b w:val="0"/>
          <w:sz w:val="21"/>
        </w:rPr>
        <w:t>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 سجلات المقابلات تتبع مدة الحفظ المعتمدة. توازن خطة القوى العاملة بين الشواغر الأساسية والتزامات التدريب وتحدد مسؤولية واضحة لكل إجراء معلق. تبقى سجلات الموظفين مقيدة بالمخولين مع جدولة</w:t>
      </w:r>
    </w:p>
    <w:p>
      <w:pPr>
        <w:spacing w:after="100" w:line="250" w:lineRule="auto"/>
      </w:pPr>
      <w:r>
        <w:rPr>
          <w:rFonts w:ascii="Arial" w:hAnsi="Arial" w:cs="Arial"/>
          <w:b w:val="0"/>
          <w:sz w:val="21"/>
        </w:rPr>
        <w:t>مراجعة الصلاحيات قبل دورة التقارير القادمة.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