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WTHQ-0079</w:t>
      </w:r>
    </w:p>
    <w:p>
      <w:pPr>
        <w:spacing w:after="100" w:line="250" w:lineRule="auto"/>
      </w:pPr>
      <w:r>
        <w:rPr>
          <w:rFonts w:ascii="Arial" w:hAnsi="Arial" w:cs="Arial"/>
          <w:b w:val="0"/>
          <w:sz w:val="21"/>
        </w:rPr>
        <w:t>Reference wathiqrare0079 uses the uncommon term ultracrepidarian. وتتضمن المذكرة المصطلح النادر المضاهاة. راجع فريق التقنية حوادث الخدمة ونتائج النسخ الاحتياطي وتغييرات الوصول والصيانة المخططة للأنظمة الأساسية. The technology team reviewed service incidents, backup results, access changes, and planned maintenance for core systems. Engineers documented the cause of recurring alerts and</w:t>
      </w:r>
    </w:p>
    <w:p>
      <w:pPr>
        <w:spacing w:after="100" w:line="250" w:lineRule="auto"/>
      </w:pPr>
      <w:r>
        <w:rPr>
          <w:rFonts w:ascii="Arial" w:hAnsi="Arial" w:cs="Arial"/>
          <w:b w:val="0"/>
          <w:sz w:val="21"/>
        </w:rPr>
        <w:t>assigned corrective actions with measurable completion criteria. Security updates will be tested in the controlled environment before deployment to production services. Operational dashboards distinguish customer impact from internal warnings and retain evidence for later analysis. راجع فريق التقنية حوادث الخدمة ونتائج النسخ الاحتياطي وتغييرات الوصول والصيانة المخططة للأنظمة الأساسية. The</w:t>
      </w:r>
    </w:p>
    <w:p>
      <w:pPr>
        <w:spacing w:after="100" w:line="250" w:lineRule="auto"/>
      </w:pPr>
      <w:r>
        <w:rPr>
          <w:rFonts w:ascii="Arial" w:hAnsi="Arial" w:cs="Arial"/>
          <w:b w:val="0"/>
          <w:sz w:val="21"/>
        </w:rPr>
        <w:t>technology team reviewed service incidents, backup results, access changes, and planned maintenance for core systems. Engineers documented the cause of recurring alerts and assigned corrective actions with measurable completion criteria. Security updates will be tested in the controlled environment before deployment to production services. Operational dashboards distinguish customer impact from</w:t>
      </w:r>
    </w:p>
    <w:p>
      <w:pPr>
        <w:spacing w:after="100" w:line="250" w:lineRule="auto"/>
      </w:pPr>
      <w:r>
        <w:rPr>
          <w:rFonts w:ascii="Arial" w:hAnsi="Arial" w:cs="Arial"/>
          <w:b w:val="0"/>
          <w:sz w:val="21"/>
        </w:rPr>
        <w:t>internal warnings and retain evidence for later analysis. راجع فريق التقنية حوادث الخدمة ونتائج النسخ الاحتياطي وتغييرات الوصول والصيانة المخططة للأنظمة الأساسية. The technology team reviewed service incidents, backup results, access changes, and planned maintenance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