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Quarterly Finance Review</w:t>
      </w:r>
    </w:p>
    <w:p>
      <w:pPr>
        <w:jc w:val="right"/>
      </w:pPr>
      <w:r>
        <w:rPr>
          <w:rFonts w:ascii="Arial" w:hAnsi="Arial" w:cs="Arial"/>
          <w:b/>
          <w:sz w:val="28"/>
        </w:rPr>
        <w:t>مراجعة مالية ربع سنوية</w:t>
      </w:r>
    </w:p>
    <w:p>
      <w:r>
        <w:rPr>
          <w:rFonts w:ascii="Arial" w:hAnsi="Arial" w:cs="Arial"/>
          <w:b w:val="0"/>
          <w:sz w:val="18"/>
        </w:rPr>
        <w:t>Synthetic reference WTHQ-0081</w:t>
      </w:r>
    </w:p>
    <w:p>
      <w:pPr>
        <w:spacing w:after="100" w:line="250" w:lineRule="auto"/>
      </w:pPr>
      <w:r>
        <w:rPr>
          <w:rFonts w:ascii="Arial" w:hAnsi="Arial" w:cs="Arial"/>
          <w:b w:val="0"/>
          <w:sz w:val="21"/>
        </w:rPr>
        <w:t>Reference wathiqrare0081 uses the uncommon term quincunx. وتتضمن المذكرة المصطلح النادر الاستعصاء. طابق المحللون فواتير الموردين مع الالتزامات المعتمدة ووثقوا كل فرق يحتاج إلى متابعة من مسؤول الميزانية. The revised forecast preserves contingency funding while directing available resources toward services with confirmed operational demand. يحافظ التوقع المحدث على مخصص الطوارئ</w:t>
      </w:r>
    </w:p>
    <w:p>
      <w:pPr>
        <w:spacing w:after="100" w:line="250" w:lineRule="auto"/>
      </w:pPr>
      <w:r>
        <w:rPr>
          <w:rFonts w:ascii="Arial" w:hAnsi="Arial" w:cs="Arial"/>
          <w:b w:val="0"/>
          <w:sz w:val="21"/>
        </w:rPr>
        <w:t>ويوجه الموارد المتاحة إلى الخدمات ذات الحاجة التشغيلية المؤكدة. The finance team reviewed monthly expenditure, revenue timing, and cash forecasts before preparing the next management report. راجع فريق المالية المصروفات الشهرية وتوقيت الإيرادات وتوقعات التدفق النقدي قبل إعداد التقرير الإداري القادم. Analysts reconciled supplier invoices with approved commitments and documented</w:t>
      </w:r>
    </w:p>
    <w:p>
      <w:pPr>
        <w:spacing w:after="100" w:line="250" w:lineRule="auto"/>
      </w:pPr>
      <w:r>
        <w:rPr>
          <w:rFonts w:ascii="Arial" w:hAnsi="Arial" w:cs="Arial"/>
          <w:b w:val="0"/>
          <w:sz w:val="21"/>
        </w:rPr>
        <w:t>each variance that required follow-up by the budget owner. طابق المحللون فواتير الموردين مع الالتزامات المعتمدة ووثقوا كل فرق يحتاج إلى متابعة من مسؤول الميزانية. The revised forecast preserves contingency funding while directing available resources toward services with confirmed operational demand. يحافظ التوقع المحدث على مخصص الطوارئ ويوجه الموارد المتاحة</w:t>
      </w:r>
    </w:p>
    <w:p>
      <w:pPr>
        <w:spacing w:after="100" w:line="250" w:lineRule="auto"/>
      </w:pPr>
      <w:r>
        <w:rPr>
          <w:rFonts w:ascii="Arial" w:hAnsi="Arial" w:cs="Arial"/>
          <w:b w:val="0"/>
          <w:sz w:val="21"/>
        </w:rPr>
        <w:t>إلى الخدمات ذات الحاجة التشغيلية المؤكدة. The finance team reviewed monthly expenditure, revenue timing, and cash forecasts before preparing the next management report. راجع فريق المالية المصروفات الشهرية وتوقيت الإيرادات وتوقعات التدفق النقدي قبل إعداد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Quarterly Finance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