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WTHQ-0084</w:t>
      </w:r>
    </w:p>
    <w:p>
      <w:pPr>
        <w:spacing w:after="100" w:line="250" w:lineRule="auto"/>
      </w:pPr>
      <w:r>
        <w:rPr>
          <w:rFonts w:ascii="Arial" w:hAnsi="Arial" w:cs="Arial"/>
          <w:b w:val="0"/>
          <w:sz w:val="21"/>
        </w:rPr>
        <w:t>Reference wathiqrare0084 uses the uncommon term susurrus. وتتضمن المذكرة المصطلح النادر الاستدلال. The asset 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w:t>
      </w:r>
    </w:p>
    <w:p>
      <w:pPr>
        <w:spacing w:after="100" w:line="250" w:lineRule="auto"/>
      </w:pPr>
      <w:r>
        <w:rPr>
          <w:rFonts w:ascii="Arial" w:hAnsi="Arial" w:cs="Arial"/>
          <w:b w:val="0"/>
          <w:sz w:val="21"/>
        </w:rPr>
        <w:t>and documented action for correction. يتضمن كل اختلاف الموقع وأمين العهدة وتاريخ المراجعة والإجراء 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asset</w:t>
      </w:r>
    </w:p>
    <w:p>
      <w:pPr>
        <w:spacing w:after="100" w:line="250" w:lineRule="auto"/>
      </w:pPr>
      <w:r>
        <w:rPr>
          <w:rFonts w:ascii="Arial" w:hAnsi="Arial" w:cs="Arial"/>
          <w:b w:val="0"/>
          <w:sz w:val="21"/>
        </w:rPr>
        <w:t>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 and documented action for correction. يتضمن كل اختلاف الموقع وأمين العهدة وتاريخ المراجعة والإجراء</w:t>
      </w:r>
    </w:p>
    <w:p>
      <w:pPr>
        <w:spacing w:after="100" w:line="250" w:lineRule="auto"/>
      </w:pPr>
      <w:r>
        <w:rPr>
          <w:rFonts w:ascii="Arial" w:hAnsi="Arial" w:cs="Arial"/>
          <w:b w:val="0"/>
          <w:sz w:val="21"/>
        </w:rPr>
        <w:t>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