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Records Classification Review</w:t>
      </w:r>
    </w:p>
    <w:p>
      <w:pPr>
        <w:jc w:val="right"/>
      </w:pPr>
      <w:r>
        <w:rPr>
          <w:rFonts w:ascii="Arial" w:hAnsi="Arial" w:cs="Arial"/>
          <w:b/>
          <w:sz w:val="28"/>
        </w:rPr>
        <w:t>مراجعة تصنيف السجلات</w:t>
      </w:r>
    </w:p>
    <w:p>
      <w:r>
        <w:rPr>
          <w:rFonts w:ascii="Arial" w:hAnsi="Arial" w:cs="Arial"/>
          <w:b w:val="0"/>
          <w:sz w:val="18"/>
        </w:rPr>
        <w:t>Synthetic reference WTHQ-0093</w:t>
      </w:r>
    </w:p>
    <w:p>
      <w:pPr>
        <w:spacing w:after="100" w:line="250" w:lineRule="auto"/>
      </w:pPr>
      <w:r>
        <w:rPr>
          <w:rFonts w:ascii="Arial" w:hAnsi="Arial" w:cs="Arial"/>
          <w:b w:val="0"/>
          <w:sz w:val="21"/>
        </w:rPr>
        <w:t>Reference wathiqrare0093 uses the uncommon term syzygy. وتتضمن المذكرة المصطلح النادر الاستدامة. يجب أن يبقى كل مكون رقمي مرتبطا بسجله الرسمي وأن يحتفظ ببصمة محتوى قابلة للتحقق. The review identified duplicate working copies and assigned owners to confirm disposition without removing evidence under legal hold. حددت المراجعة نسخ العمل المكررة</w:t>
      </w:r>
    </w:p>
    <w:p>
      <w:pPr>
        <w:spacing w:after="100" w:line="250" w:lineRule="auto"/>
      </w:pPr>
      <w:r>
        <w:rPr>
          <w:rFonts w:ascii="Arial" w:hAnsi="Arial" w:cs="Arial"/>
          <w:b w:val="0"/>
          <w:sz w:val="21"/>
        </w:rPr>
        <w:t>وكلفت المسؤولين بتأكيد التصرف دون إزالة دليل خاضع للحجز القانوني. Records staff reviewed file classifications, retention periods, access controls, and transfer readiness across active business folders. راجع موظفو السجلات التصنيفات ومدد الحفظ وضوابط الوصول وجاهزية التحويل في ملفات الأعمال النشطة. Every digital component must remain linked to its authoritative record</w:t>
      </w:r>
    </w:p>
    <w:p>
      <w:pPr>
        <w:spacing w:after="100" w:line="250" w:lineRule="auto"/>
      </w:pPr>
      <w:r>
        <w:rPr>
          <w:rFonts w:ascii="Arial" w:hAnsi="Arial" w:cs="Arial"/>
          <w:b w:val="0"/>
          <w:sz w:val="21"/>
        </w:rPr>
        <w:t>and retain a verifiable content checksum. يجب أن يبقى كل مكون رقمي مرتبطا بسجله الرسمي وأن يحتفظ ببصمة محتوى قابلة للتحقق. The review identified duplicate working copies and assigned owners to confirm disposition without removing evidence under legal hold. حددت المراجعة نسخ العمل المكررة وكلفت المسؤولين بتأكيد التصرف دون إزالة</w:t>
      </w:r>
    </w:p>
    <w:p>
      <w:pPr>
        <w:spacing w:after="100" w:line="250" w:lineRule="auto"/>
      </w:pPr>
      <w:r>
        <w:rPr>
          <w:rFonts w:ascii="Arial" w:hAnsi="Arial" w:cs="Arial"/>
          <w:b w:val="0"/>
          <w:sz w:val="21"/>
        </w:rPr>
        <w:t>دليل خاضع للحجز القانوني. Records staff reviewed file classifications, retention periods, access controls, and transfer readiness across active business folders. راجع موظفو السجلات التصنيفات ومدد الحفظ وضوابط الوصول وجاهزية التحويل في ملفات الأعمال النشطة. Every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Records Classification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