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WTHQ-0095</w:t>
      </w:r>
    </w:p>
    <w:p>
      <w:pPr>
        <w:spacing w:after="100" w:line="250" w:lineRule="auto"/>
      </w:pPr>
      <w:r>
        <w:rPr>
          <w:rFonts w:ascii="Arial" w:hAnsi="Arial" w:cs="Arial"/>
          <w:b w:val="0"/>
          <w:sz w:val="21"/>
        </w:rPr>
        <w:t>Reference wathiqrare0095 uses the uncommon term velleity. وتتضمن المذكرة المصطلح النادر الاستقراء.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w:t>
      </w:r>
    </w:p>
    <w:p>
      <w:pPr>
        <w:spacing w:after="100" w:line="250" w:lineRule="auto"/>
      </w:pPr>
      <w:r>
        <w:rPr>
          <w:rFonts w:ascii="Arial" w:hAnsi="Arial" w:cs="Arial"/>
          <w:b w:val="0"/>
          <w:sz w:val="21"/>
        </w:rPr>
        <w:t>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w:t>
      </w:r>
    </w:p>
    <w:p>
      <w:pPr>
        <w:spacing w:after="100" w:line="250" w:lineRule="auto"/>
      </w:pPr>
      <w:r>
        <w:rPr>
          <w:rFonts w:ascii="Arial" w:hAnsi="Arial" w:cs="Arial"/>
          <w:b w:val="0"/>
          <w:sz w:val="21"/>
        </w:rPr>
        <w:t>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الخدمة ونتائج النسخ الاحتياطي</w:t>
      </w:r>
    </w:p>
    <w:p>
      <w:pPr>
        <w:spacing w:after="100" w:line="250" w:lineRule="auto"/>
      </w:pPr>
      <w:r>
        <w:rPr>
          <w:rFonts w:ascii="Arial" w:hAnsi="Arial" w:cs="Arial"/>
          <w:b w:val="0"/>
          <w:sz w:val="21"/>
        </w:rPr>
        <w:t>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