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WTHQ-0096</w:t>
      </w:r>
    </w:p>
    <w:p>
      <w:pPr>
        <w:spacing w:after="100" w:line="250" w:lineRule="auto"/>
      </w:pPr>
      <w:r>
        <w:rPr>
          <w:rFonts w:ascii="Arial" w:hAnsi="Arial" w:cs="Arial"/>
          <w:b w:val="0"/>
          <w:sz w:val="21"/>
        </w:rPr>
        <w:t>Reference wathiqrare0096 uses the uncommon term anfractuous. وتتضمن المذكرة المصطلح النادر الاستدراك.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w:t>
      </w:r>
    </w:p>
    <w:p>
      <w:pPr>
        <w:spacing w:after="100" w:line="250" w:lineRule="auto"/>
      </w:pPr>
      <w:r>
        <w:rPr>
          <w:rFonts w:ascii="Arial" w:hAnsi="Arial" w:cs="Arial"/>
          <w:b w:val="0"/>
          <w:sz w:val="21"/>
        </w:rPr>
        <w:t>authorization trail. يجب أن يحتفظ كل قرار توريد بالمواصفات المعتمدة وأدلة التقييم ومسار التفويض الموثق. Contract owners will monitor delivery dates and 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w:t>
      </w:r>
    </w:p>
    <w:p>
      <w:pPr>
        <w:spacing w:after="100" w:line="250" w:lineRule="auto"/>
      </w:pPr>
      <w:r>
        <w:rPr>
          <w:rFonts w:ascii="Arial" w:hAnsi="Arial" w:cs="Arial"/>
          <w:b w:val="0"/>
          <w:sz w:val="21"/>
        </w:rPr>
        <w:t>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 authorization trail. يجب أن يحتفظ كل قرار توريد بالمواصفات المعتمدة وأدلة التقييم ومسار التفويض الموثق. Contract owners will monitor delivery dates and</w:t>
      </w:r>
    </w:p>
    <w:p>
      <w:pPr>
        <w:spacing w:after="100" w:line="250" w:lineRule="auto"/>
      </w:pPr>
      <w:r>
        <w:rPr>
          <w:rFonts w:ascii="Arial" w:hAnsi="Arial" w:cs="Arial"/>
          <w:b w:val="0"/>
          <w:sz w:val="21"/>
        </w:rPr>
        <w:t>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 and supplier performance information. راجع فريق المشتريات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