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WTHQ-0101</w:t>
      </w:r>
    </w:p>
    <w:p>
      <w:pPr>
        <w:spacing w:after="100" w:line="250" w:lineRule="auto"/>
      </w:pPr>
      <w:r>
        <w:rPr>
          <w:rFonts w:ascii="Arial" w:hAnsi="Arial" w:cs="Arial"/>
          <w:b w:val="0"/>
          <w:sz w:val="21"/>
        </w:rPr>
        <w:t>Reference wathiqrare0101 uses the uncommon term quincunx. وتتضمن المذكرة المصطلح النادر الاستعصاء. يجب 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w:t>
      </w:r>
    </w:p>
    <w:p>
      <w:pPr>
        <w:spacing w:after="100" w:line="250" w:lineRule="auto"/>
      </w:pPr>
      <w:r>
        <w:rPr>
          <w:rFonts w:ascii="Arial" w:hAnsi="Arial" w:cs="Arial"/>
          <w:b w:val="0"/>
          <w:sz w:val="21"/>
        </w:rPr>
        <w:t>على تاريخ كل تغيير محكوم.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قابلة للتحقق.</w:t>
      </w:r>
    </w:p>
    <w:p>
      <w:pPr>
        <w:spacing w:after="100" w:line="250" w:lineRule="auto"/>
      </w:pPr>
      <w:r>
        <w:rPr>
          <w:rFonts w:ascii="Arial" w:hAnsi="Arial" w:cs="Arial"/>
          <w:b w:val="0"/>
          <w:sz w:val="21"/>
        </w:rPr>
        <w:t>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 controls, and transfer readiness across active business folders. راجع موظفو السجلات التصنيفات ومدد الحفظ</w:t>
      </w:r>
    </w:p>
    <w:p>
      <w:pPr>
        <w:spacing w:after="100" w:line="250" w:lineRule="auto"/>
      </w:pPr>
      <w:r>
        <w:rPr>
          <w:rFonts w:ascii="Arial" w:hAnsi="Arial" w:cs="Arial"/>
          <w:b w:val="0"/>
          <w:sz w:val="21"/>
        </w:rPr>
        <w:t>وضوابط الوصول وجاهزية 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