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WTHQ-0105</w:t>
      </w:r>
    </w:p>
    <w:p>
      <w:pPr>
        <w:spacing w:after="100" w:line="250" w:lineRule="auto"/>
      </w:pPr>
      <w:r>
        <w:rPr>
          <w:rFonts w:ascii="Arial" w:hAnsi="Arial" w:cs="Arial"/>
          <w:b w:val="0"/>
          <w:sz w:val="21"/>
        </w:rPr>
        <w:t>Reference wathiqrare0105 uses the uncommon term velleity. وتتضمن المذكرة المصطلح النادر الاستقراء.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