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WTHQ-0114</w:t>
      </w:r>
    </w:p>
    <w:p>
      <w:pPr>
        <w:spacing w:after="100" w:line="250" w:lineRule="auto"/>
      </w:pPr>
      <w:r>
        <w:rPr>
          <w:rFonts w:ascii="Arial" w:hAnsi="Arial" w:cs="Arial"/>
          <w:b w:val="0"/>
          <w:sz w:val="21"/>
        </w:rPr>
        <w:t>Reference wathiqrare0114 uses the uncommon term susurrus. وتتضمن المذكرة المصطلح النادر الاستدلال.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Managers confirmed that position descriptions reflect current responsibilities and</w:t>
      </w:r>
    </w:p>
    <w:p>
      <w:pPr>
        <w:spacing w:after="100" w:line="250" w:lineRule="auto"/>
      </w:pPr>
      <w:r>
        <w:rPr>
          <w:rFonts w:ascii="Arial" w:hAnsi="Arial" w:cs="Arial"/>
          <w:b w:val="0"/>
          <w:sz w:val="21"/>
        </w:rPr>
        <w:t>that interview records follow the approved retention schedule. أكد المديرون أن الأوصاف الوظيفية تعكس المسؤوليات الحالية وأن سجلات المقابلات تتبع مدة الحفظ المعتمدة. The workforce plan balances essential vacancies with training commitments and provides clear ownership for every pending action. توازن خطة القوى العاملة بين الشواغر الأساسية والتزامات التدريب وتحدد</w:t>
      </w:r>
    </w:p>
    <w:p>
      <w:pPr>
        <w:spacing w:after="100" w:line="250" w:lineRule="auto"/>
      </w:pPr>
      <w:r>
        <w:rPr>
          <w:rFonts w:ascii="Arial" w:hAnsi="Arial" w:cs="Arial"/>
          <w:b w:val="0"/>
          <w:sz w:val="21"/>
        </w:rPr>
        <w:t>مسؤولية واضحة لكل إجراء معلق.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Managers confirmed that position descriptions reflect current responsibilities and that interview records follow the approved retention</w:t>
      </w:r>
    </w:p>
    <w:p>
      <w:pPr>
        <w:spacing w:after="100" w:line="250" w:lineRule="auto"/>
      </w:pPr>
      <w:r>
        <w:rPr>
          <w:rFonts w:ascii="Arial" w:hAnsi="Arial" w:cs="Arial"/>
          <w:b w:val="0"/>
          <w:sz w:val="21"/>
        </w:rPr>
        <w:t>schedule. أكد المديرون أن الأوصاف الوظيفية تعكس المسؤوليات الحالية وأن سجلات المقابلات تتبع مدة الحفظ المعتمدة. The workforce plan balances essential vacancies with training commitments and provides clear ownership for every pending action. توازن خطة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