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WTHQ-0116</w:t>
      </w:r>
    </w:p>
    <w:p>
      <w:pPr>
        <w:spacing w:after="100" w:line="250" w:lineRule="auto"/>
      </w:pPr>
      <w:r>
        <w:rPr>
          <w:rFonts w:ascii="Arial" w:hAnsi="Arial" w:cs="Arial"/>
          <w:b w:val="0"/>
          <w:sz w:val="21"/>
        </w:rPr>
        <w:t>Reference wathiqrare0116 uses the uncommon term anfractuous. وتتضمن المذكرة المصطلح النادر الاستدراك.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w:t>
      </w:r>
    </w:p>
    <w:p>
      <w:pPr>
        <w:spacing w:after="100" w:line="250" w:lineRule="auto"/>
      </w:pPr>
      <w:r>
        <w:rPr>
          <w:rFonts w:ascii="Arial" w:hAnsi="Arial" w:cs="Arial"/>
          <w:b w:val="0"/>
          <w:sz w:val="21"/>
        </w:rPr>
        <w:t>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w:t>
      </w:r>
    </w:p>
    <w:p>
      <w:pPr>
        <w:spacing w:after="100" w:line="250" w:lineRule="auto"/>
      </w:pPr>
      <w:r>
        <w:rPr>
          <w:rFonts w:ascii="Arial" w:hAnsi="Arial" w:cs="Arial"/>
          <w:b w:val="0"/>
          <w:sz w:val="21"/>
        </w:rPr>
        <w:t>من نهاية عمرها النافع. 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w:t>
      </w:r>
    </w:p>
    <w:p>
      <w:pPr>
        <w:spacing w:after="100" w:line="250" w:lineRule="auto"/>
      </w:pPr>
      <w:r>
        <w:rPr>
          <w:rFonts w:ascii="Arial" w:hAnsi="Arial" w:cs="Arial"/>
          <w:b w:val="0"/>
          <w:sz w:val="21"/>
        </w:rPr>
        <w:t>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