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WTHQ-0117</w:t>
      </w:r>
    </w:p>
    <w:p>
      <w:pPr>
        <w:spacing w:after="100" w:line="250" w:lineRule="auto"/>
      </w:pPr>
      <w:r>
        <w:rPr>
          <w:rFonts w:ascii="Arial" w:hAnsi="Arial" w:cs="Arial"/>
          <w:b w:val="0"/>
          <w:sz w:val="21"/>
        </w:rPr>
        <w:t>Reference wathiqrare0117 uses the uncommon term crepuscular. وتتضمن المذكرة المصطلح النادر التغاير.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w:t>
      </w:r>
    </w:p>
    <w:p>
      <w:pPr>
        <w:spacing w:after="100" w:line="250" w:lineRule="auto"/>
      </w:pPr>
      <w:r>
        <w:rPr>
          <w:rFonts w:ascii="Arial" w:hAnsi="Arial" w:cs="Arial"/>
          <w:b w:val="0"/>
          <w:sz w:val="21"/>
        </w:rPr>
        <w:t>وكلفت المسؤولين بتأكيد التصرف دون إزالة 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digital component must remain linked to its authoritative record</w:t>
      </w:r>
    </w:p>
    <w:p>
      <w:pPr>
        <w:spacing w:after="100" w:line="250" w:lineRule="auto"/>
      </w:pPr>
      <w:r>
        <w:rPr>
          <w:rFonts w:ascii="Arial" w:hAnsi="Arial" w:cs="Arial"/>
          <w:b w:val="0"/>
          <w:sz w:val="21"/>
        </w:rPr>
        <w:t>and retain a verifiable content checksum.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 وكلفت المسؤولين بتأكيد التصرف دون إزالة</w:t>
      </w:r>
    </w:p>
    <w:p>
      <w:pPr>
        <w:spacing w:after="100" w:line="250" w:lineRule="auto"/>
      </w:pPr>
      <w:r>
        <w:rPr>
          <w:rFonts w:ascii="Arial" w:hAnsi="Arial" w:cs="Arial"/>
          <w:b w:val="0"/>
          <w:sz w:val="21"/>
        </w:rPr>
        <w:t>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