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WTHQ-0119</w:t>
      </w:r>
    </w:p>
    <w:p>
      <w:pPr>
        <w:spacing w:after="100" w:line="250" w:lineRule="auto"/>
      </w:pPr>
      <w:r>
        <w:rPr>
          <w:rFonts w:ascii="Arial" w:hAnsi="Arial" w:cs="Arial"/>
          <w:b w:val="0"/>
          <w:sz w:val="21"/>
        </w:rPr>
        <w:t>Reference wathiqrare0119 uses the uncommon term ultracrepidarian. وتتضمن المذكرة المصطلح النادر المضاهاة. 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w:t>
      </w:r>
    </w:p>
    <w:p>
      <w:pPr>
        <w:spacing w:after="100" w:line="250" w:lineRule="auto"/>
      </w:pPr>
      <w:r>
        <w:rPr>
          <w:rFonts w:ascii="Arial" w:hAnsi="Arial" w:cs="Arial"/>
          <w:b w:val="0"/>
          <w:sz w:val="21"/>
        </w:rPr>
        <w:t>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w:t>
      </w:r>
    </w:p>
    <w:p>
      <w:pPr>
        <w:spacing w:after="100" w:line="250" w:lineRule="auto"/>
      </w:pPr>
      <w:r>
        <w:rPr>
          <w:rFonts w:ascii="Arial" w:hAnsi="Arial" w:cs="Arial"/>
          <w:b w:val="0"/>
          <w:sz w:val="21"/>
        </w:rPr>
        <w:t>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w:t>
      </w:r>
    </w:p>
    <w:p>
      <w:pPr>
        <w:spacing w:after="100" w:line="250" w:lineRule="auto"/>
      </w:pPr>
      <w:r>
        <w:rPr>
          <w:rFonts w:ascii="Arial" w:hAnsi="Arial" w:cs="Arial"/>
          <w:b w:val="0"/>
          <w:sz w:val="21"/>
        </w:rPr>
        <w:t>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