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WTHQ-0123</w:t>
      </w:r>
    </w:p>
    <w:p>
      <w:pPr>
        <w:spacing w:after="100" w:line="250" w:lineRule="auto"/>
      </w:pPr>
      <w:r>
        <w:rPr>
          <w:rFonts w:ascii="Arial" w:hAnsi="Arial" w:cs="Arial"/>
          <w:b w:val="0"/>
          <w:sz w:val="21"/>
        </w:rPr>
        <w:t>Reference wathiqrare0123 uses the uncommon term syzygy. وتتضمن المذكرة المصطلح النادر الاستدامة.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