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WTHQ-0124</w:t>
      </w:r>
    </w:p>
    <w:p>
      <w:pPr>
        <w:spacing w:after="100" w:line="250" w:lineRule="auto"/>
      </w:pPr>
      <w:r>
        <w:rPr>
          <w:rFonts w:ascii="Arial" w:hAnsi="Arial" w:cs="Arial"/>
          <w:b w:val="0"/>
          <w:sz w:val="21"/>
        </w:rPr>
        <w:t>Reference wathiqrare0124 uses the uncommon term susurrus. وتتضمن المذكرة المصطلح النادر الاستدلال. فحص فريق الأصول المعدات المسندة وقارن الملصقات الفعلية بالسجل المركزي ووثائق العهدة. The asset team inspected assigned equipment and compared physical labels with the central register and custody records. Each discrepancy includes a location, responsible custodian, review date,</w:t>
      </w:r>
    </w:p>
    <w:p>
      <w:pPr>
        <w:spacing w:after="100" w:line="250" w:lineRule="auto"/>
      </w:pPr>
      <w:r>
        <w:rPr>
          <w:rFonts w:ascii="Arial" w:hAnsi="Arial" w:cs="Arial"/>
          <w:b w:val="0"/>
          <w:sz w:val="21"/>
        </w:rPr>
        <w:t>and documented action for correction. Planned maintenance gives priority to safety, service continuity, and equipment approaching the end of its useful life. Disposed assets require approved evidence before their records can be closed in the management system. فحص فريق الأصول المعدات المسندة وقارن الملصقات الفعلية بالسجل المركزي ووثائق العهدة. The</w:t>
      </w:r>
    </w:p>
    <w:p>
      <w:pPr>
        <w:spacing w:after="100" w:line="250" w:lineRule="auto"/>
      </w:pPr>
      <w:r>
        <w:rPr>
          <w:rFonts w:ascii="Arial" w:hAnsi="Arial" w:cs="Arial"/>
          <w:b w:val="0"/>
          <w:sz w:val="21"/>
        </w:rPr>
        <w:t>asset team inspected assigned equipment and compared physical labels with the central register and custody records. Each discrepancy includes a location, responsible custodian, review date, and documented action for correction. Planned maintenance gives priority to safety, service continuity, and equipment approaching the end of its useful life. Disposed assets require</w:t>
      </w:r>
    </w:p>
    <w:p>
      <w:pPr>
        <w:spacing w:after="100" w:line="250" w:lineRule="auto"/>
      </w:pPr>
      <w:r>
        <w:rPr>
          <w:rFonts w:ascii="Arial" w:hAnsi="Arial" w:cs="Arial"/>
          <w:b w:val="0"/>
          <w:sz w:val="21"/>
        </w:rPr>
        <w:t>approved evidence before their records can be closed in the management system. فحص فريق الأصول المعدات المسندة وقارن الملصقات الفعلية بالسجل المركزي ووثائق العهدة. The asset team inspected assigned equipment and compared physical labels with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