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WTHQ-0126</w:t>
      </w:r>
    </w:p>
    <w:p>
      <w:pPr>
        <w:spacing w:after="100" w:line="250" w:lineRule="auto"/>
      </w:pPr>
      <w:r>
        <w:rPr>
          <w:rFonts w:ascii="Arial" w:hAnsi="Arial" w:cs="Arial"/>
          <w:b w:val="0"/>
          <w:sz w:val="21"/>
        </w:rPr>
        <w:t>Reference wathiqrare0126 uses the uncommon term anfractuous. وتتضمن المذكرة المصطلح النادر الاستدراك.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w:t>
      </w:r>
    </w:p>
    <w:p>
      <w:pPr>
        <w:spacing w:after="100" w:line="250" w:lineRule="auto"/>
      </w:pPr>
      <w:r>
        <w:rPr>
          <w:rFonts w:ascii="Arial" w:hAnsi="Arial" w:cs="Arial"/>
          <w:b w:val="0"/>
          <w:sz w:val="21"/>
        </w:rPr>
        <w:t>the next reporting period. أكد قادة مسارات العمل المهام المكتملة 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الأنشطة الأقل أولوية ضمن الحدود</w:t>
      </w:r>
    </w:p>
    <w:p>
      <w:pPr>
        <w:spacing w:after="100" w:line="250" w:lineRule="auto"/>
      </w:pPr>
      <w:r>
        <w:rPr>
          <w:rFonts w:ascii="Arial" w:hAnsi="Arial" w:cs="Arial"/>
          <w:b w:val="0"/>
          <w:sz w:val="21"/>
        </w:rPr>
        <w:t>المتفق عليها.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 the next reporting period. أكد قادة مسارات العمل المهام المكتملة</w:t>
      </w:r>
    </w:p>
    <w:p>
      <w:pPr>
        <w:spacing w:after="100" w:line="250" w:lineRule="auto"/>
      </w:pPr>
      <w:r>
        <w:rPr>
          <w:rFonts w:ascii="Arial" w:hAnsi="Arial" w:cs="Arial"/>
          <w:b w:val="0"/>
          <w:sz w:val="21"/>
        </w:rPr>
        <w:t>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