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WTHQ-0128</w:t>
      </w:r>
    </w:p>
    <w:p>
      <w:pPr>
        <w:spacing w:after="100" w:line="250" w:lineRule="auto"/>
      </w:pPr>
      <w:r>
        <w:rPr>
          <w:rFonts w:ascii="Arial" w:hAnsi="Arial" w:cs="Arial"/>
          <w:b w:val="0"/>
          <w:sz w:val="21"/>
        </w:rPr>
        <w:t>Reference wathiqrare0128 uses the uncommon term psithurism. وتتضمن المذكرة المصطلح النادر التماثل. تجمع الخطة المحدثة الطلبات المرتبطة عندما يحسن الدمج القيمة دون إضعاف المساءلة التشغيلية. The procurement team reviewed purchase requests, evaluation records, contract dates, and supplier performance information. راجع فريق المشتريات طلبات الشراء وسجلات التقييم وتواريخ العقود ومعلومات أداء</w:t>
      </w:r>
    </w:p>
    <w:p>
      <w:pPr>
        <w:spacing w:after="100" w:line="250" w:lineRule="auto"/>
      </w:pPr>
      <w:r>
        <w:rPr>
          <w:rFonts w:ascii="Arial" w:hAnsi="Arial" w:cs="Arial"/>
          <w:b w:val="0"/>
          <w:sz w:val="21"/>
        </w:rPr>
        <w:t>الموردين. 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 التشغيلية. The procurement team reviewed purchase requests, evaluation records, contract dates, and supplier</w:t>
      </w:r>
    </w:p>
    <w:p>
      <w:pPr>
        <w:spacing w:after="100" w:line="250" w:lineRule="auto"/>
      </w:pPr>
      <w:r>
        <w:rPr>
          <w:rFonts w:ascii="Arial" w:hAnsi="Arial" w:cs="Arial"/>
          <w:b w:val="0"/>
          <w:sz w:val="21"/>
        </w:rPr>
        <w:t>performance information. راجع فريق المشتريات طلبات الشراء وسجلات التقييم وتواريخ العقود ومعلومات أداء الموردين. 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w:t>
      </w:r>
    </w:p>
    <w:p>
      <w:pPr>
        <w:spacing w:after="100" w:line="250" w:lineRule="auto"/>
      </w:pPr>
      <w:r>
        <w:rPr>
          <w:rFonts w:ascii="Arial" w:hAnsi="Arial" w:cs="Arial"/>
          <w:b w:val="0"/>
          <w:sz w:val="21"/>
        </w:rPr>
        <w:t>التشغيلية. The procurement team reviewed purchase requests, evaluation records, contract dates, and supplier performance information. راجع فريق المشتريات طلبات الشراء وسجلات التقييم وتواريخ العقود ومعلومات أداء الموردين. يجب أن يحتفظ كل قرار توريد بالمواصفات المعتمدة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